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https://www.autoritedelaconcurrence.fr/fr/decision-de-controle-des-concentrations/relative-la-prise-de-controle-conjoint-de-la-societe-sas-4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26-DCC-38 of January 28, 2026  </w:t>
        <w:br/>
        <w:t xml:space="preserve">regarding the joint control acquisition of the company SAS Semeusedis  </w:t>
        <w:br/>
        <w:t>by Mr. Arnaud Bey and Cooperative U</w:t>
      </w:r>
    </w:p>
    <w:p>
      <w:r>
        <w:t xml:space="preserve">The Competition Authority,  </w:t>
        <w:br/>
        <w:t xml:space="preserve">Having regard to the complete notification file submitted to the mergers department on January 13, 2026,  </w:t>
        <w:br/>
        <w:t xml:space="preserve">concerning the joint control acquisition of the company SAS Semeusedis by Mr. Arnaud Bey and  </w:t>
        <w:br/>
        <w:t xml:space="preserve">Cooperative U, formalized by a purchase promise signed on July 2, 2025, a share and debt transfer agreement dated October 28, 2025, as well as a letter of intent  </w:t>
        <w:br/>
        <w:t xml:space="preserve">dated December 18, 2025;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Mr. Arnaud Bey and Cooperative U of the joint control  </w:t>
        <w:br/>
        <w:t xml:space="preserve">of the company SAS Semeusedis, owner of the business premises of a store operated under the Carrefour brand in Villers-Semeuse (08), with a sales area of 12,276 m²,  </w:t>
        <w:br/>
        <w:t xml:space="preserve">including a service station, as well as the associated shopping gallery. The operation  </w:t>
        <w:br/>
        <w:t xml:space="preserve">constitutes a concentration within the meaning of Article L. 430-1 of the Commercial Code. Given  </w:t>
        <w:br/>
        <w:t xml:space="preserve">the turnover achieved by the concerned companies, the operation does not fall under the  </w:t>
        <w:br/>
        <w:t xml:space="preserve">jurisdiction of the European Union. On the other hand, the control thresholds mentioned in II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26-019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