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https://www.autoritedelaconcurrence.fr/fr/decision-de-controle-des-concentrations/relative-la-prise-de-controle-conjoint-de-la-societe-sas-5</w:t>
      </w:r>
    </w:p>
    <w:p>
      <w:r>
        <w:t>Pages translated : 2</w:t>
      </w:r>
    </w:p>
    <w:p/>
    <w:p>
      <w:r>
        <w:rPr>
          <w:b/>
        </w:rPr>
        <w:t>[Pages 1–2]</w:t>
      </w:r>
    </w:p>
    <w:p>
      <w:r>
        <w:t xml:space="preserve">FRENCH REPUBLIC  </w:t>
        <w:br/>
        <w:t xml:space="preserve">Decision No. 26-DCC-39 of January 28, 2026  </w:t>
        <w:br/>
        <w:t xml:space="preserve">regarding the joint control acquisition of the company SAS Mercin FDC  </w:t>
        <w:br/>
        <w:t>by Mr. Mathieu Garcia and Cooperative U</w:t>
      </w:r>
    </w:p>
    <w:p>
      <w:r>
        <w:t>The Competition Authority,</w:t>
      </w:r>
    </w:p>
    <w:p>
      <w:r>
        <w:t>Having regard to the complete notification file submitted to the mergers department on January 13, 2026, concerning the joint control acquisition of the company SAS Mercin FDC by Mr. Mathieu Garcia and Cooperative U, formalized by a purchase promise signed on July 2, 2025, a share and debt transfer agreement dated October 28, 2025, as well as a purchase promise dated January 9, 2026;</w:t>
      </w:r>
    </w:p>
    <w:p>
      <w:r>
        <w:t>Having regard to Book IV of the Commercial Code relating to the freedom of prices and competition, and in particular its Articles L. 430-1 to L. 430-7;</w:t>
      </w:r>
    </w:p>
    <w:p>
      <w:r>
        <w:t xml:space="preserve">Adopts the following decision:  </w:t>
        <w:br/>
        <w:t xml:space="preserve">1. The notified transaction consists of the acquisition by Mathieu Garcia and Cooperative U of joint control of the company SAS Mercin FDC, owner of the business premises of a store operated under the Carrefour brand in Mercin-et-Vaux (02), with a sales area of 2,938 m², including an attached drive. The transaction constitutes a concentration within the meaning of Article L. 430-1 of the Commercial Code. Given the turnover achieved by the companies involved, the transaction does not fall under the jurisdiction of the European Union. However, the control thresholds mentioned in II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1 The acquisition also includes the real estate assets attached to the premises in which the Carrefour store of Mercin-et-Vaux is operated.</w:t>
      </w:r>
    </w:p>
    <w:p>
      <w:r>
        <w:t xml:space="preserve">DECIDES  </w:t>
        <w:br/>
        <w:t xml:space="preserve">Sole Article: The notified transaction under number 26-021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