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https://www.autoritedelaconcurrence.fr/fr/decision-de-controle-des-concentrations/relative-la-prise-de-controle-conjoint-de-la-societe-satar</w:t>
      </w:r>
    </w:p>
    <w:p>
      <w:r>
        <w:t>Pages translated : 6</w:t>
      </w:r>
    </w:p>
    <w:p/>
    <w:p>
      <w:r>
        <w:rPr>
          <w:b/>
        </w:rPr>
        <w:t>[Pages 1–3]</w:t>
      </w:r>
    </w:p>
    <w:p>
      <w:r>
        <w:t xml:space="preserve">FRENCH REPUBLIC  </w:t>
        <w:br/>
        <w:t xml:space="preserve">Decision No. 20-DCC-26 of February 20, 2020  </w:t>
        <w:br/>
        <w:t xml:space="preserve">regarding the joint control of the company Satar by the  </w:t>
        <w:br/>
        <w:t>companies Inseco and Stef</w:t>
      </w:r>
    </w:p>
    <w:p>
      <w:r>
        <w:t xml:space="preserve">The Competition Authority,  </w:t>
        <w:br/>
        <w:t xml:space="preserve">Having regard to the notification file submitted in full to the merger service on January 20, 2020,  </w:t>
        <w:br/>
        <w:t xml:space="preserve">regarding the joint control of the company Satar by the companies Inseco and Stef, formalized  </w:t>
        <w:br/>
        <w:t xml:space="preserve">by a transfer protocol of the company Satar dated December 17, 2019, between the companies  </w:t>
        <w:br/>
        <w:t xml:space="preserve">Hermes Investissement and Prim@ever and an investment protocol dated December 17, 2019  </w:t>
        <w:br/>
        <w:t xml:space="preserve">between the company Satar Investissement, the company Prim@ever, the company Hermes Investissement,  </w:t>
        <w:br/>
        <w:t xml:space="preserve">the associated companies Satar and the company Stef SA;  </w:t>
        <w:br/>
        <w:t xml:space="preserve">Having regard to Book IV of the Commercial Code relating to the freedom of prices and competition, and  </w:t>
        <w:br/>
        <w:t xml:space="preserve">in particular its Articles L. 430-1 to L. 430-7;  </w:t>
        <w:br/>
        <w:t xml:space="preserve">Having regard to the other documents in the file;  </w:t>
        <w:br/>
        <w:t>Adopts the following decision:</w:t>
      </w:r>
    </w:p>
    <w:p>
      <w:r>
        <w:t xml:space="preserve">I. The concerned companies and the operation  </w:t>
        <w:br/>
        <w:t xml:space="preserve">1. SAS Satar and its subsidiaries (hereinafter, the "Satar group") are active in the road transport sector, particularly in the fruit and vegetable sector. The Satar group offers transport services on a national and European scale.  </w:t>
        <w:br/>
        <w:t xml:space="preserve">2. Prior to the operation, SAS Satar is controlled by Hermes Investissement, at 99.67%, which is itself controlled by the company Inseco. The majority of Inseco's activity is carried out by its subsidiary Satar.  </w:t>
        <w:br/>
        <w:t xml:space="preserve">3. The company Stef SA and its subsidiaries (hereinafter, the "Stef group") are primarily active in the field of temperature-controlled freight transport and in fresh and frozen logistics services.  </w:t>
        <w:br/>
        <w:t>4. The notified operation consists of three interdependent operations allowing Prim@ever, jointly owned by Inseco and Stef, to take control of the Satar group, which was exclusively owned by Inseco before the operation. Indeed, 100% of the shares of SAS Satar currently held by Hermes Investissement will be transferred to the company Prim@ever.</w:t>
      </w:r>
    </w:p>
    <w:p>
      <w:r>
        <w:t xml:space="preserve">5. As it results in the joint control of the company SAS Satar by the companies Inseco and Stef, the notified operation constitutes a concentration within the meaning of Article L. 430-1 of the Commercial Code.  </w:t>
        <w:br/>
        <w:t>6. The companies concerned together achieve a total worldwide turnover of more than 150 million euros (Inseco: 239.5 million euros for the fiscal year ending December 31, 2018; Stef group: 3,255.1 million euros for the fiscal year ending December 31, 2018; Satar group: [≤ 150 million] euros for the fiscal year ending December 31, 2018). Each of these companies achieves, in France, a turnover exceeding 50 million euros (Inseco: [≥50 million] euros for the fiscal year ending December 31, 2018; Stef group: [≥ 50 million] euros for the fiscal year ending December 31, 2018; Satar group: [≥ 50 million] euros for the fiscal year ending December 31, 2018).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  </w:t>
        <w:br/>
        <w:t>7. The parties are simultaneously present in the market for temperature-controlled freight transport1. The parties are also present, to a marginal extent2, in the market for road transport of industrial products.</w:t>
      </w:r>
    </w:p>
    <w:p>
      <w:r>
        <w:t xml:space="preserve">A. THE MARKET FOR ROAD TRANSPORT OF TEMPERATURE-CONTROLLED GOODS  </w:t>
        <w:br/>
        <w:t xml:space="preserve">8. The decisional practice considers that the different modes of transport of goods are generally not substitutable for one another3. Indeed, the choice of a mode of transport is constrained by certain factors, such as the geographical location of the customer or the nature of the goods transported. Furthermore, each mode of transport has specific characteristics related, in particular, to cost structures and transport duration. Thus, competition authorities distinguish between air transport, maritime transport, and land transport of goods, which is further segmented according to the mode of transport: rail, road, waterway, and pipeline4.  </w:t>
        <w:br/>
        <w:t xml:space="preserve">9. Regarding road transport of goods, several segmentations have been considered based on (i) the domestic or cross-border nature of the transport5, (ii) the type of products transported6 (the markets for the transport of hazardous materials7 and temperature-controlled goods8 have been considered as specific markets), (iii) the type of offers proposed (dedicated transport, full truckload transport, transport by batch or groups of batches, and courier transport)9, and (iv) the packaging mode (transport of packaged goods, transport of bulk goods)10.  </w:t>
        <w:br/>
        <w:t xml:space="preserve">10. In this case, the operation results in an overlap of activity in the market for road transport of temperature-controlled goods, which is characterized by a demand consisting of agri-food industries (IAA), out-of-home catering professionals (RHF), large and medium-sized retailers (GMS), and wholesalers who do not own their own fleet of trucks for the delivery of their fresh and frozen products.  </w:t>
        <w:br/>
        <w:t xml:space="preserve">11. The decisional practice has considered a segmentation of this market according to the categories of products transported: (i) fruits and vegetables, (ii) meat products, (iii) dairy products, (iv) seafood products, (v) frozen and deep-frozen products, and (vi) other products11.  </w:t>
        <w:br/>
        <w:t xml:space="preserve">12. On the other hand, the decisional practice has considered that it is not relevant to retain a segmentation between the transport services of "frozen" products12 and the transport services of fresh products under positive temperature control, as these two types of transport use similar equipment capable of producing both positive and negative cold13. Indeed, the fleet of operators transporting temperature-controlled goods consists of multi-temperature trucks that can be equipped with partitions separating compartments maintained at different temperatures.  </w:t>
        <w:br/>
        <w:t>13. However, the question of the exact delimitation of the markets can be left open, as the conclusions of the competitive analysis remain unchanged regardless of the delimitations retained.</w:t>
      </w:r>
    </w:p>
    <w:p>
      <w:r>
        <w:t xml:space="preserve">B. THE GEOGRAPHICAL MARKET  </w:t>
        <w:br/>
        <w:t>14. The decisional practice considers that the markets for road transport of goods and their potential segments generally have a national dimension despite a trend towards Europeanization14.</w:t>
      </w:r>
    </w:p>
    <w:p>
      <w:r>
        <w:rPr>
          <w:b/>
        </w:rPr>
        <w:t>[Pages 4–6]</w:t>
      </w:r>
    </w:p>
    <w:p>
      <w:r>
        <w:t>15. There is no reason to challenge this delimitation on the occasion of the present operation.</w:t>
      </w:r>
    </w:p>
    <w:p>
      <w:r>
        <w:t>III. Competitive Analysis</w:t>
      </w:r>
    </w:p>
    <w:p>
      <w:r>
        <w:t>A. HORIZONTAL EFFECTS</w:t>
      </w:r>
    </w:p>
    <w:p>
      <w:r>
        <w:t>16. In the market for road freight transport under controlled temperature, the parties estimate their market share at [20-30]% with an estimated addition of market share of [0-5]%.</w:t>
      </w:r>
    </w:p>
    <w:p>
      <w:r>
        <w:t>17. The main competitors identified by the notifying parties in this market are STG ([0-5]% market share) and FM Logistic ([0-5]% market share). The market is, moreover, very fragmented, with more than twenty operators each holding market shares between 1% and 4%.</w:t>
      </w:r>
    </w:p>
    <w:p>
      <w:r>
        <w:t>18. Since the target of the operation is only very limitedly active in this market ([0-5]% market share) and the parties remain confronted with competition from numerous players, the operation is not likely to harm competition in this market through horizontal effects.</w:t>
      </w:r>
    </w:p>
    <w:p>
      <w:r>
        <w:t>19. If a specific segmentation for the road transport of temperature-controlled fruits and vegetables is considered, the parties estimate their market share at [20-30]%. The Satar group, the target of the operation, alone holds a market share of [5-10]% in this market segment. Regarding the buyers, Prim@ever holds a market share of [10-20]% and the Stef group of [0-5]%. Like the market for road freight transport under controlled temperature, the segment for fruits and vegetables is characterized by a significant fragmentation of operators, with about ten of them holding market shares between 1% and 5%.</w:t>
      </w:r>
    </w:p>
    <w:p>
      <w:r>
        <w:t>20. The notifying parties provide clarifications regarding the functioning of the market, highlighting the significant countervailing power of customers. Firstly, they emphasize that the main customers in this market are large retailers, major agri-food groups, and significant wholesalers who have strong purchasing and negotiating power with transport providers. Secondly, the parties point out that the relatively concentrated demand meets a rather scattered supply characterized by a multitude of modest-sized players. Finally, they indicate that long-term contracts are rare in the sector: indeed, many customers put different operators in competition through calls for tenders. Moreover, customers are perfectly able to divide their entire demand into different lots, which means that significant transport capacities do not necessarily confer a significant competitive advantage.</w:t>
      </w:r>
    </w:p>
    <w:p>
      <w:r>
        <w:t>21. The parties also highlight that there are few barriers to entry in this market, as illustrated by the significant number of viable small-sized players that make it up, often independent and family-owned, or by the existence of the phenomenon of "cabotage" (occasional chartering of foreign carriers for domestic transport).</w:t>
      </w:r>
    </w:p>
    <w:p>
      <w:r>
        <w:t>22. Given these elements and since the buyer Stef is also only very limitedly active in this market segment ([0-5]% market share) and the parties remain confronted with competition from numerous players, the contemplated operation is not likely to harm competition in this market through horizontal effects.</w:t>
      </w:r>
    </w:p>
    <w:p>
      <w:r>
        <w:t>23. Considering these elements, the present operation is not likely to harm competition in the markets for road freight transport under controlled temperature through horizontal effects.</w:t>
      </w:r>
    </w:p>
    <w:p>
      <w:r>
        <w:t>B. CONGLOMERATE EFFECTS</w:t>
      </w:r>
    </w:p>
    <w:p>
      <w:r>
        <w:t>24. A concentration has conglomerate effects when the new entity extends or strengthens its presence in several markets whose connection may allow it to increase its market power. Generally, such effects are analyzed when a concentration operation extends or strengthens the presence of a new entity in several distinct but related markets. These effects can also be analyzed when the strengthening of the position of a new entity takes place in the same market, but it is a market of sufficiently differentiated products so that, on the one hand, a leveraging effect can be exercised from one of them and, on the other hand, the same customers regularly purchase more than one product within this product range. While conglomerate concentrations can generally generate pro-competitive synergies, some may nonetheless produce restrictive competition effects when they allow the technical or commercial linking of the sales or purchases of the components of the grouping in such a way as to lock the market and exclude competitors.</w:t>
      </w:r>
    </w:p>
    <w:p>
      <w:r>
        <w:t>25. Following the operation, the new entity could decide to link, within the same commercial offer, the provision of road freight transport services under controlled temperature for the delivery of fresh and frozen products, a market in which the Stef group is the leading market player, and the provision of road freight transport services under controlled temperature for the delivery of fresh and frozen products such as fruits and vegetables, a segment in which Prim@ever is the leading market player, in order to lock the market against the parties' competitors.</w:t>
      </w:r>
    </w:p>
    <w:p>
      <w:r>
        <w:t>26. The decision-making practice of competition authorities generally considers that a risk of conglomerate effect can be ruled out as long as the market share of the entity resulting from the operation in the relevant markets does not exceed 30%.</w:t>
      </w:r>
    </w:p>
    <w:p>
      <w:r>
        <w:t>27. In this case, the market share of the Satar group in the market for road freight transport under controlled temperature will remain, following the operation, below 30%, regardless of the segmentation considered. Consequently, the operation is not likely to harm competition through conglomerate effects in related markets.</w:t>
      </w:r>
    </w:p>
    <w:p>
      <w:r>
        <w:t>DECIDES</w:t>
      </w:r>
    </w:p>
    <w:p>
      <w:r>
        <w:t>Article unique: The operation notified under number 19-345 is authorized.</w:t>
      </w:r>
    </w:p>
    <w:p>
      <w:r>
        <w:t>The Vice-President,</w:t>
      </w:r>
    </w:p>
    <w:p>
      <w:r>
        <w:t>Henri Piffaut</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