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https://www.autoritedelaconcurrence.fr/fr/decision-de-controle-des-concentrations/relative-la-prise-de-controle-conjoint-de-la-societe-savot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25-DCC-288 of 24 November 2025</w:t>
        <w:br/>
        <w:t>concerning the joint control acquisition of the company Savot by</w:t>
        <w:br/>
        <w:t>the companies Choky and ITM Entreprises</w:t>
        <w:br/>
        <w:t>The Competition Authority,</w:t>
        <w:br/>
        <w:t>Having regard to the complete notification file submitted to the mergers department on 4 November 2025,</w:t>
        <w:br/>
        <w:t>concerning the joint control acquisition of the company Savot by the companies Choky and</w:t>
        <w:br/>
        <w:t>ITM Entreprises, formalized by a letter of intent accepted on 10 October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acquisition, by the company Choky, with ITM Entreprises retaining</w:t>
        <w:br/>
        <w:t>a preferred share, of almost all the shares of the company Savot, which operates</w:t>
        <w:br/>
        <w:t>a retail business primarily in food under the Intermarché brand,</w:t>
        <w:br/>
        <w:t>with a sales area of 2,360 m², located in Saint-Pierre-d’Albigny (73). This operation</w:t>
        <w:br/>
        <w:t>constitutes a concentration within the meaning of Article L. 430-1 of the Commercial Code. Given</w:t>
        <w:br/>
        <w:t>the turnover achieved by the companies concerned, the operation does not fall under the</w:t>
        <w:br/>
        <w:t>jurisdiction of the European Union. However, the control thresholds mentioned in II of</w:t>
        <w:br/>
        <w:t>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25-316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