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https://www.autoritedelaconcurrence.fr/fr/decision-de-controle-des-concentrations/relative-la-prise-de-controle-conjoint-de-la-societe-saze</w:t>
      </w:r>
    </w:p>
    <w:p>
      <w:r>
        <w:t>Pages translated : 2</w:t>
      </w:r>
    </w:p>
    <w:p/>
    <w:p>
      <w:r>
        <w:rPr>
          <w:b/>
        </w:rPr>
        <w:t>[Pages 1–2]</w:t>
      </w:r>
    </w:p>
    <w:p>
      <w:r>
        <w:t xml:space="preserve">FRENCH REPUBLIC  </w:t>
        <w:br/>
        <w:t xml:space="preserve">Decision No. 17-DCC-28 of March 2, 2017  </w:t>
        <w:br/>
        <w:t>regarding the joint control of the company Saze by the companies ITM Entreprises and Vareo</w:t>
      </w:r>
    </w:p>
    <w:p>
      <w:r>
        <w:t>The Competition Authority,</w:t>
      </w:r>
    </w:p>
    <w:p>
      <w:r>
        <w:t>Having regard to the complete notification file submitted to the mergers department on February 3, 2017, concerning the joint control of the company Saze by the companies ITM Entreprises and Vareo, formalized by a decision of the extraordinary general meeting of the company Saze on January 31, 2017, aimed at increasing its capital in favor of the company Vareo;</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companies Vareo and ITM Entreprises of joint control of the company Saze, which operates a predominantly food retail outlet under the brand "Intermarché" in the city of Champigny (51).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17-018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