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24-DCC-160 of July 24, 2024  </w:t>
        <w:br/>
        <w:t xml:space="preserve">regarding the joint control acquisition of the company SC Pack by its  </w:t>
        <w:br/>
        <w:t xml:space="preserve">founders and the company MML Capital  </w:t>
        <w:br/>
        <w:t>The Competition Authority,</w:t>
      </w:r>
    </w:p>
    <w:p>
      <w:r>
        <w:t xml:space="preserve">Having regard to the complete notification file sent to the mergers department on July 5, 2024,  </w:t>
        <w:br/>
        <w:t xml:space="preserve">concerning the joint control acquisition of the company SC Pack by Messrs. Christophe and Stéphane  </w:t>
        <w:br/>
        <w:t>Allemandou and the company MML Capital, formalized by a letter of offer dated March 14, 2024, and an investment protocol signed on July 5,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its founders, Messrs. Christophe and  </w:t>
        <w:br/>
        <w:t xml:space="preserve">Stéphane Allemandou, and the company MML Capital, of the joint control of the company SC Pack  </w:t>
        <w:br/>
        <w:t xml:space="preserve">and its subsidiaries, which are active in the design and distribution of packaging.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point 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24-181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