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https://www.autoritedelaconcurrence.fr/fr/decision-de-controle-des-concentrations/relative-la-prise-de-controle-conjoint-de-la-societe-sdam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22-DCC-30 of March 17, 2022  </w:t>
        <w:br/>
        <w:t xml:space="preserve">regarding the joint control acquisition of the company S.D.A.M. by the  </w:t>
        <w:br/>
        <w:t xml:space="preserve">companies NACL and ITM Entreprises  </w:t>
        <w:br/>
        <w:t xml:space="preserve">The Competition Authority,  </w:t>
        <w:br/>
        <w:t xml:space="preserve">Having regard to the complete notification file submitted to the mergers department on March 2, 2022,  </w:t>
        <w:br/>
        <w:t xml:space="preserve">concerning the joint control acquisition of the company S.D.A.M. by the companies NACL and ITM  </w:t>
        <w:br/>
        <w:t xml:space="preserve">Entreprises, formalized by a letter of intent dated February 25,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NACL, alongside  </w:t>
        <w:br/>
        <w:t xml:space="preserve">the company ITM Entreprises, of the Société de distribution alimentaire montaise (known as S.D.A.M.),  </w:t>
        <w:br/>
        <w:t xml:space="preserve">which operates a food-dominant business of supermarket type under the Intermarché brand with  </w:t>
        <w:br/>
        <w:t xml:space="preserve">a surface area of 2,423 m² located in Mont-près-Chambord (41). It constitutes a concentration operation  </w:t>
        <w:br/>
        <w:t xml:space="preserve">within the meaning of Article L. 430-1 of the Commercial Code.  </w:t>
        <w:br/>
        <w:t xml:space="preserve">Given the turnover achieved by the companies concerned, the operation does not fall under the  </w:t>
        <w:br/>
        <w:t xml:space="preserve">competence of the European Union. On the other hand, the retail control thresholds mentioned in II of  </w:t>
        <w:br/>
        <w:t xml:space="preserve">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22-053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