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https://www.autoritedelaconcurrence.fr/fr/decision-de-controle-des-concentrations/relative-la-prise-de-controle-conjoint-de-la-societe-sevres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24-DCC-77 of April 23, 2024</w:t>
        <w:br/>
        <w:t>regarding the joint control acquisition of the company Sèvres Distribution</w:t>
        <w:br/>
        <w:t>by the Benharrouche group and the Carrefour group</w:t>
        <w:br/>
        <w:t>The Competition Authority,</w:t>
        <w:br/>
        <w:t>Having regard to the complete notification file sent to the mergers department on April 8, 2024,</w:t>
        <w:br/>
        <w:t>concerning the joint control acquisition of the company Sèvres Distribution by the Benharrouche</w:t>
        <w:br/>
        <w:t>group and the Carrefour group, formalized by a transactional agreement protocol dated</w:t>
        <w:br/>
        <w:t>December 28, 2023;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joint control acquisition by the Benharrouche group, via</w:t>
        <w:br/>
        <w:t>the company City Distribution, and the Carrefour group of the company Sèvres Distribution, which</w:t>
        <w:br/>
        <w:t>operates a predominantly food retail outlet of supermarket type with an area of</w:t>
        <w:br/>
        <w:t>710 m2, under the Carrefour City brand and located in Sèvres (92). It constitutes a concentration operation</w:t>
        <w:br/>
        <w:t>within the meaning of Article L. 430-1 of the Commercial Code. Given the turnover achieved by the</w:t>
        <w:br/>
        <w:t>concerned companies, the operation does not fall under the jurisdiction of the European Union. However, the</w:t>
        <w:br/>
        <w:t>retail control thresholds mentioned in II of Article L. 430-2 of the Commercial Code are exceeded. This</w:t>
        <w:br/>
        <w:t>operation is therefore subject to the provisions of Articles L. 430-3 and following of the Commercial Code</w:t>
        <w:br/>
        <w:t>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24-091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