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https://www.autoritedelaconcurrence.fr/fr/decision-de-controle-des-concentrations/relative-la-prise-de-controle-conjoint-de-la-societe-sierra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18-DCC-205 of December 5, 2018  </w:t>
        <w:br/>
        <w:t xml:space="preserve">regarding the joint control acquisition of the company Sierra by the  </w:t>
        <w:br/>
        <w:t xml:space="preserve">companies ITM Entreprises and Semarjan  </w:t>
        <w:br/>
        <w:t xml:space="preserve">The Competition Authority,  </w:t>
        <w:br/>
        <w:t xml:space="preserve">Having regard to the complete notification file sent to the mergers department on November 5, 2018,  </w:t>
        <w:br/>
        <w:t xml:space="preserve">concerning the joint control acquisition of the company Sierra by the companies ITM Entreprises and  </w:t>
        <w:br/>
        <w:t xml:space="preserve">Semarjan, and formalized by a letter of intent dated October 25, 2018;  </w:t>
        <w:br/>
        <w:t xml:space="preserve">Having regard to Book IV of the Commercial Code relating to the freedom of prices and competition, and  </w:t>
        <w:br/>
        <w:t xml:space="preserve">notably its Articles L. 430-1 to L.430-7;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joint control acquisition by the companies ITM Entreprises  </w:t>
        <w:br/>
        <w:t xml:space="preserve">and Semarjan of the company Sierra, which operates a predominantly food retail outlet of  </w:t>
        <w:br/>
        <w:t xml:space="preserve">supermarket type, with an area of 2,300 m2, under the Intermarché brand, located in  </w:t>
        <w:br/>
        <w:t xml:space="preserve">Montmagny (95). It constitutes a concentration operation within the meaning of Article L. 430-1 of the  </w:t>
        <w:br/>
        <w:t xml:space="preserve">Commercial Code. Given the turnover achieved by the companies concerned, the operation does not fall  </w:t>
        <w:br/>
        <w:t xml:space="preserve">within the jurisdiction of the European Union. On the other hand, the control thresholds related to  </w:t>
        <w:br/>
        <w:t xml:space="preserve">retail trade mentioned in point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18-258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