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https://www.autoritedelaconcurrence.fr/fr/decision-de-controle-des-concentrations/relative-la-prise-de-controle-conjoint-de-la-societe-simage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13-DCC-141 of October 10, 2013  </w:t>
        <w:br/>
        <w:t xml:space="preserve">regarding the joint control acquisition of the company Simage by the  </w:t>
        <w:br/>
        <w:t xml:space="preserve">companies Gepla and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19, 2013, concerning the joint control acquisition of the company Simage by the companies  </w:t>
        <w:br/>
        <w:t xml:space="preserve">Gepla and ITM Entreprises, formalized by a synallagmatic promise of share transfer  </w:t>
        <w:br/>
        <w:t xml:space="preserve">dated September 17,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Simage, operating  </w:t>
        <w:br/>
        <w:t xml:space="preserve">a retail sales outlet predominantly food-related in the town of Lalevade d’Ardèche (07), by the companies ITM Entreprises and Gepla. The latter operates, through its  </w:t>
        <w:br/>
        <w:t xml:space="preserve">subsidiaries, sales outlets under the Intermarché and Netto brands in the town of Langogne  </w:t>
        <w:br/>
        <w:t xml:space="preserve">(48). It constitutes a concentration operation within the meaning of Article L. 430-1 of the Commercial Code. Given the turnover achieved by the companies concerned,  </w:t>
        <w:br/>
        <w:t xml:space="preserve">the operation does not have a community dimension. On the other hand, the control thresholds  </w:t>
        <w:br/>
        <w:t xml:space="preserve">related to retail trade mentioned in point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13-163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