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https://www.autoritedelaconcurrence.fr/fr/decision-de-controle-des-concentrations/relative-la-prise-de-controle-conjoint-de-la-societe-snc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16-DCC-169 of November 8, 2016  </w:t>
        <w:br/>
        <w:t xml:space="preserve">regarding the joint control acquisition of the company SNC Lavalin SAS  </w:t>
        <w:br/>
        <w:t xml:space="preserve">by the Ciclad group and the company Impact Holding  </w:t>
        <w:br/>
        <w:t xml:space="preserve">The Competition Authority,  </w:t>
        <w:br/>
        <w:t xml:space="preserve">Having regard to the complete notification file sent to the mergers department on October 14, 2016,  </w:t>
        <w:br/>
        <w:t xml:space="preserve">concerning the joint control acquisition of the company SNC Lavalin SAS by the Ciclad group and the  </w:t>
        <w:br/>
        <w:t xml:space="preserve">company Impact Holding, formalized by an offer letter dated July 30, 2016, and a draft share transfer agreement;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provided by the parties during the investigation;  </w:t>
        <w:br/>
        <w:t xml:space="preserve">Adopts the following decision:  </w:t>
        <w:br/>
        <w:t xml:space="preserve">1. The notified operation consists of the acquisition by the Ciclad group and the company Impact Holding  </w:t>
        <w:br/>
        <w:t xml:space="preserve">of the exclusive control of the company SNC Lavalin SAS, primarily active in the sectors of  </w:t>
        <w:br/>
        <w:t xml:space="preserve">engineering, construction, and infrastructure operation, notably airport-related.  </w:t>
        <w:br/>
        <w:t xml:space="preserve">Considering the revenues generated by the concerned companies, the operation does not fall  </w:t>
        <w:br/>
        <w:t xml:space="preserve">under the jurisdiction of the European Union. On the other hand, the control thresholds mentioned  </w:t>
        <w:br/>
        <w:t xml:space="preserve">in point I of Article L. 430-2 of the Commercial Code are exceeded. This operation is  </w:t>
        <w:br/>
        <w:t xml:space="preserve">therefore subject to the provisions of Articles L. 430-3 and following of the Commercial Code relating to  </w:t>
        <w:br/>
        <w:t xml:space="preserve">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16-188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