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https://www.autoritedelaconcurrence.fr/fr/decision-de-controle-des-concentrations/relative-la-prise-de-controle-conjoint-de-la-societe-sodipi</w:t>
      </w:r>
    </w:p>
    <w:p>
      <w:r>
        <w:t>Pages translated : 9</w:t>
      </w:r>
    </w:p>
    <w:p/>
    <w:p>
      <w:r>
        <w:rPr>
          <w:b/>
        </w:rPr>
        <w:t>[Pages 1–3]</w:t>
      </w:r>
    </w:p>
    <w:p>
      <w:r>
        <w:t xml:space="preserve">FRENCH REPUBLIC  </w:t>
        <w:br/>
        <w:t xml:space="preserve">Decision No. 16-DCC-18 of February 5, 2016  </w:t>
        <w:br/>
        <w:t xml:space="preserve">regarding the joint control of the company Sodipi by  </w:t>
        <w:br/>
        <w:t>the Association of E. Leclerc Distribution Centers alongside the Mouton spouses</w:t>
      </w:r>
    </w:p>
    <w:p>
      <w:r>
        <w:t xml:space="preserve">The Competition Authority,  </w:t>
        <w:br/>
        <w:t xml:space="preserve">Having regard to the notification file submitted in full to the merger service on January 4, 2016,  </w:t>
        <w:br/>
        <w:t xml:space="preserve">regarding the joint control of the company Sodipi by the Association of E. Leclerc Distribution Centers alongside the Mouton spouses, formalized by a set of contracts, including a unilateral promise of share transfer and a E. Leclerc trademark license dated January 4, 2015;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A. THE CONCERNED COMPANIES  </w:t>
        <w:br/>
        <w:t xml:space="preserve">1. THE ACQUIRERS AND THE TARGET  </w:t>
        <w:br/>
        <w:t xml:space="preserve">1. The Mouton spouses hold […] % of the holding company Andante, which itself directly and indirectly holds the company Sodipi and the company Comapi, the latter operating a supermarket under the Netto brand with a sales area of 950 m² located in Pézenas (34). The company ITM Entreprises also holds a share in the holding company Andante that does not confer any particular rights.  </w:t>
        <w:br/>
        <w:t>2. The Association of E. Leclerc Distribution Centers (hereinafter "ACDLec") is the strategic body of the E. Leclerc movement, to which all individuals managing E. Leclerc retail store operating companies are members. ACDLec notably determines the conditions for approval to the E. Leclerc movement and signs the brand contracts that must be held by the operators of E. Leclerc retail stores.</w:t>
      </w:r>
    </w:p>
    <w:p>
      <w:r>
        <w:t>3. Sodipi, the target company of this operation, operated until January 4, 2015, a supermarket under the Intermarché brand, located in Pèzenas (34), with a sales area of 1,630 m². The capital of Sodipi is predominantly held by the Mouton spouses, with ITM Entreprises holding a share that does not confer any particular rights.</w:t>
      </w:r>
    </w:p>
    <w:p>
      <w:r>
        <w:t xml:space="preserve">2. CONTROL OF THE CONCERNED ENTITIES  </w:t>
        <w:br/>
        <w:t xml:space="preserve">4. It is asserted in the notification of the operation that ACDLec does not exercise any control over Andante and Sodipi and will not exercise any control over the target store after the operation. The latter would therefore be exclusively controlled by the Mouton spouses, and the notified operation would consist of the exclusive control of the target store by the Mouton spouses, through the holding company Andante.  </w:t>
        <w:br/>
        <w:t xml:space="preserve">5. Nevertheless, following the operation, the target company will be held by Andante, both entities being jointly controlled by ACDLec and the Mouton spouses. Indeed, as the Competition Authority has noted in previous decisions1, the obligations that ACDLec imposes on E. Leclerc retail store operating companies, such as Sodipi and Andante, allow it to exert a decisive influence over them. This analysis of the decisive influence exerted by ACDLec is transposable to the present operation in light of the various contractual documents binding Sodipi and Andante to ACDLec.  </w:t>
        <w:br/>
        <w:t xml:space="preserve">6. Firstly, ACDLec constitutes a company within the meaning of the provisions of Article L. 430-1 of the Commercial Code insofar as it engages in an economic activity consisting notably, according to the provisions of its statutes2, of (i) defining the brand policy, (ii) protecting and promoting the "E. Leclerc Distribution Center" signboard, (iii) controlling either for itself or on behalf of any commercial company grouping E. Leclerc distribution centers, the conditions for the management of the latter or the associated E. Leclerc centers, and (iv) contributing to the creation of any organization likely to promote the activity, solidarity, and security of its members.  </w:t>
        <w:br/>
        <w:t xml:space="preserve">7. Secondly, the joint control held by ACDLec over the companies Andante and Sodipi following the operation arises from a set of indicators based notably on ACDLec's ability to intervene in the appointment and dismissal of the president of these companies and the members of their sponsorship council, in the commercial policy of the store held by the operating company, and in the share transfers of the latter.  </w:t>
        <w:br/>
        <w:t xml:space="preserve">1 See the decisions of the Competition Authority No. 12-DCC-125 of August 27, 2012, regarding the joint control of 28 retail stores predominantly selling food by the Union of Alsace Cooperators and the Association of E. Leclerc Distribution Centers, No. 13-DCC-12 of January 28, 2013, regarding the joint control of the companies Nobladis and Sodirev by the Cornac group and the Association of E. Leclerc Distribution Centers, No. 13-DCC-112 of August 19, 2013, regarding the exclusive control of the company Hypercoop by the Association of E. Leclerc Distribution Centers, No. 14-DCC-16 of February 12, 2014, regarding the joint control of a hypermarket under the E. Leclerc brand by the companies Licehold, Lihold, and the Association of E. Leclerc Distribution Centers, No. 14-DCC-144, regarding the joint control of the company Phalsdis by the Holding Sarredis company alongside the Association of E. Leclerc Distribution Centers, No. 14-DCC-196 of December 24, 2014, regarding the joint control of a retail store predominantly selling food by the company Blanc Mesnil Distribution alongside the Association of E. Leclerc Distribution Centers.  </w:t>
        <w:br/>
        <w:t>2 See the provisions of Article 1 of the statutes of ACDLec.</w:t>
      </w:r>
    </w:p>
    <w:p>
      <w:r>
        <w:t xml:space="preserve">The ability to intervene in the appointment and dismissal of the president of the companies Sodipi and Andante  </w:t>
        <w:br/>
        <w:t xml:space="preserve">8. ACDLec will have a veto right over the appointment and exercise of the functions of the president of the companies Sodipi and Andante. The draft statutes3 of these companies provide that a "sponsorship council"4 appoints by a simple majority of the council members and dismisses5 unanimously the president of the company, while the latter "assumes […] the general management of the company"6. The sponsorship council "is vested with the power to control the management of the company"7 and decisions regarding several strategic issues (decisions relating to loans, investments, securities, decisions to acquire or transfer any direct or indirect interests in any companies, decisions concerning all operations regarding real estate) can only be made by the president with the authorization of the sponsorship council8. Furthermore, the latter "may require at any time during the life of the company that the President submit for its consideration: the company budgets; the forward-looking management documents; the interim situations"9.  </w:t>
        <w:br/>
        <w:t xml:space="preserve">9. It follows from these stipulations that ACDLec is able to exercise, through the sponsorship councils of the companies Sodipi and Andante, control over the latter. The members of the sponsorship councils, in addition to the Mouton spouses and the regional cooperative supply company Socamil, are predominantly individuals or legal entities managing companies operating an E. Leclerc center, and are therefore linked to ACDLec by signboard or brand contracts. They have entered into sponsorship agreements10 with the Mouton spouses that grant them the status of "sponsors." The sponsors thus provide their endorsement to the Mouton spouses within the framework of said agreements which indicate that, in return, the sponsored party commits notably "to scrupulously apply the directives given by the national or regional structures of the E. Leclerc Movement"11. Furthermore, the sponsorship agreements do not provide that the Mouton spouses will have any influence over the evolution of the composition of the respective sponsors of the companies Sodipi and Andante12.  </w:t>
        <w:br/>
        <w:t xml:space="preserve">10. More generally, only members of ACDLec (or the operating companies they manage) can operate a store under the E. Leclerc brand, join Galec or a general supply cooperative of the E. Leclerc movement, or be a sponsor of another member of ACDLec, this status implying that one must hold a signboard (or brand) contract signed with ACDLec13, granting the right to use the E. Leclerc brand. Insofar as ACDLec is not obliged to grant this right to use  </w:t>
        <w:br/>
        <w:t xml:space="preserve">3 The statutes of Sodipi and Andante will be changed following the operation. The two draft statutes correspond to the "standard statutes" of simplified joint-stock companies approved by ACDLec (charter of members of the E. Leclerc movement, page 20).  </w:t>
        <w:br/>
        <w:t xml:space="preserve">4 Article 16.2 of the statutes of Sodipi and Andante.  </w:t>
        <w:br/>
        <w:t xml:space="preserve">5 Article 16.9 of the statutes of Sodipi and Andante.  </w:t>
        <w:br/>
        <w:t xml:space="preserve">6 Article 16.3 of the statutes of Sodipi and Andante.  </w:t>
        <w:br/>
        <w:t xml:space="preserve">7 Article 19.2 of the statutes of Sodipi and Andante.  </w:t>
        <w:br/>
        <w:t xml:space="preserve">8 Article 16.5 of the statutes of Sodipi and Andante.  </w:t>
        <w:br/>
        <w:t xml:space="preserve">9 Article 19.3 of the statutes of Sodipi and Andante.  </w:t>
        <w:br/>
        <w:t xml:space="preserve">10 The notifying parties provided the sponsorship agreements concerning the companies Sodipi and Andante, signed by the Mouton spouses and their sponsors, for the operation of the supermarket located in Pézenas (34).  </w:t>
        <w:br/>
        <w:t xml:space="preserve">11 See page 5 of the sponsorship agreements concerning the companies Sodipi and Andante signed by the Mouton spouses.  </w:t>
        <w:br/>
        <w:t xml:space="preserve">12 See page 4 of the sponsorship agreements concerning the companies Sodipi and Andante signed by the Mouton spouses.  </w:t>
        <w:br/>
        <w:t>13 Article 6 of the statutes of ACDLec notably provides that "membership in the association necessarily involves signing the contract whose terms have been established by the board of directors and which defines the conditions for the allocation of the E. Leclerc Distribution Center signboard to the member."</w:t>
      </w:r>
    </w:p>
    <w:p>
      <w:r>
        <w:rPr>
          <w:b/>
        </w:rPr>
        <w:t>[Pages 4–6]</w:t>
      </w:r>
    </w:p>
    <w:p>
      <w:r>
        <w:t>the E.Leclerc brand, nor justify its potential refusals14, and where it can withdraw this right to use the E.Leclerc brand in accordance with the provisions of the brand or signboard contract, which give it a very wide margin of discretion15, ACDLec can control the appointment of the president, as well as the members of the sponsorship councils of the companies Sodipi and Andante.</w:t>
      </w:r>
    </w:p>
    <w:p>
      <w:r>
        <w:t>Intervention in the commercial policy of operating companies</w:t>
        <w:br/>
        <w:t>11. ACDLec16 imposes, in the signboard contracts, in the charter of members of the E.Leclerc movement17, and in directives disseminated by its regional delegates who ensure their proper application18, two sets of obligations. These obligations significantly limit the autonomy of members in conducting their commercial policy. In this case, these obligations apply to Mr. Mouton as president of Sodipi and Andante as well as signatory, with ACDLec, of a future signboard contract19.</w:t>
      </w:r>
    </w:p>
    <w:p>
      <w:r>
        <w:t>12. Firstly, the association receives communication of all documents necessary for assessing the commercial operation of the stores by their managers. Members must therefore submit their balance sheet and income statement each year, as well as, monthly, the turnover of the previous month20.</w:t>
      </w:r>
    </w:p>
    <w:p>
      <w:r>
        <w:t>13. Secondly, ACDLec also imposes, in the draft signboard contracts, obligations that confer on it a determining role for the commercial strategy of the stores. These contracts indeed provide that members cannot apply margins higher than those practiced for wholesale sales and that, in any case, members commit "never to apply a margin higher than those recommended by ACDLec"21. However, the setting of the margin rate is the essential element that conditions the commercial profitability of a large retail brand. The charter of members of ACDLec expressly states that each member is required to respect the pricing policy of the E.Leclerc movement, which constitutes "one of the essential elements of membership in ACDLec. […] The average index target to be achieved to ensure the overall competitiveness of the brand is […]. Every member must strive towards the set target and, in any case, have a comprehensive index at OPUS lower than […]. Non-compliance with this pricing rule leads to the implementation of a disciplinary procedure, a warning from ACDLec, which sanctions any excess, three consecutive warnings potentially leading to expulsion from the association"22. It follows that, in practice, ACDLec is indeed able to correct the commercial policy of the operating companies of E.Leclerc stores.</w:t>
      </w:r>
    </w:p>
    <w:p>
      <w:r>
        <w:t>14. Furthermore, the signboard contracts impose on members obligations precisely framing their supply and investments23. Companies are also required not to operate or manage any other commercial enterprise24, even if it has a similar activity. In addition to these obligations imposed by ACDLec in the signboard contracts, members of ACDLec are required to comply with the obligations set forth in the charter of members of the E.Leclerc movement25 and by directives outlining the signboard policy developed by the strategic committee of ACDLec26, and disseminated by its regional delegates27. Any failure to comply with these obligations may justify the withdrawal of the right to use the E.Leclerc brand28.</w:t>
      </w:r>
    </w:p>
    <w:p>
      <w:r>
        <w:t>The possibility of intervening in the share transfers of operating companies</w:t>
        <w:br/>
        <w:t>15. The various statutory provisions or contractual stipulations applicable make it difficult to transfer shares of Sodipi and Andante to a person outside the E.Leclerc movement.</w:t>
      </w:r>
    </w:p>
    <w:p>
      <w:r>
        <w:t>16. Regarding share transfers, several obligations provided in the statutes of Sodipi and Andante obstruct this:</w:t>
        <w:br/>
        <w:t>- any total or partial transfer of shares held by a partner must be subject to a "prior offer of transfer to the partners"29; and</w:t>
        <w:br/>
        <w:t>- if the other partners have not expressed their intention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preemption right. Failing a response within this period, they are deemed to have waived their right to acquire the transferred shares30.</w:t>
      </w:r>
    </w:p>
    <w:p>
      <w:r>
        <w:t>17. Overall, it follows from all of the above, and notably from the possibility for ACDLec to intervene in the administration and commercial policy, as well as on the share transfers of Sodipi and Andante, that ACDLec has the ability to exert a determining influence over them at the conclusion of the operation.</w:t>
      </w:r>
    </w:p>
    <w:p>
      <w:r>
        <w:t>B. THE TRANSACTION</w:t>
        <w:br/>
        <w:t>18. The transaction, formalized by a set of contracts, including two unilateral promises of share transfer, whose entry into force is suspended by the effect of a contract dated January 4, 2015, consists of the acquisition by the regional purchasing center Socamil and the operating companies Commingeoise, Sodibag, Vernet Dis, Gaillac Distribution, and Sodigar of one share each in the capital of, respectively, the company Andante and the company Sodipi, under the sponsorship described in the previous developments. The company Sodipi will become a simplified joint-stock company under provisions consistent with the Leclerc standard statutes described above, a member of ACDLec, and holder of a Leclerc signboard contract. Through the entire set of these operations and contracts, ACDLec will be able to exercise joint control over the new entity.</w:t>
      </w:r>
    </w:p>
    <w:p>
      <w:r>
        <w:t>19. Insofar as it results in the joint control of the target store by ACDLec alongside the Mouton spouses, the operation constitutes a concentration within the meaning of Article L. 430-1 of the Commercial Code.</w:t>
      </w:r>
    </w:p>
    <w:p>
      <w:r>
        <w:t>20. The companies concerned operate retail stores and together achieve a total worldwide turnover excluding tax of more than 75 million euros (E.Leclerc movement: […] euros for the fiscal year ending December 31, 201431; the target companies: […] euros for the fiscal year ending December 31, 2014). At least two of these companies achieve a turnover in France exceeding 15 million euros in the retail sector (E.Leclerc movement: […] euros for the fiscal year ending December 31, 201432; the target companies: […] euros for the fiscal year ending December 31, 2014).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concentrations.</w:t>
      </w:r>
    </w:p>
    <w:p>
      <w:r>
        <w:t>II. Definition of relevant markets</w:t>
        <w:br/>
        <w:t>A. UPSTREAM SUPPLY MARKETS</w:t>
        <w:br/>
        <w:t>1. PRODUCT MARKETS</w:t>
        <w:br/>
        <w:t>21. Regarding supply markets, the European Commission33 has recognized the existence of markets of national dimension by major product groups, a delimitation followed by national authorities34.</w:t>
      </w:r>
    </w:p>
    <w:p>
      <w:r>
        <w:rPr>
          <w:b/>
        </w:rPr>
        <w:t>[Pages 7–9]</w:t>
      </w:r>
    </w:p>
    <w:p>
      <w:r>
        <w:t>22. There is no reason to challenge this delimitation in the context of the present operation.</w:t>
      </w:r>
    </w:p>
    <w:p>
      <w:r>
        <w:t>2. GEOGRAPHICAL MARKETS</w:t>
        <w:br/>
        <w:t>23. From a geographical perspective, the consistent decision-making practice of competition authorities considers that supply markets are of national dimension35.</w:t>
        <w:br/>
        <w:t>24. There is no reason to challenge the decision-making practice in the context of the present operation.</w:t>
      </w:r>
    </w:p>
    <w:p>
      <w:r>
        <w:t>B. DOWNSTREAM MARKETS OF FOOD-RELATED RETAIL DISTRIBUTION</w:t>
        <w:br/>
        <w:t>1. PRODUCT MARKETS</w:t>
        <w:br/>
        <w:t>25. Regarding the retail sale of everyday consumer goods, the decision-making practice36 distinguishes six categories of retail trade of everyday consumer goods, using several criteria, including store size, sales techniques, accessibility, the nature of the service provided, and the range of products offered: (i) hypermarkets (stores with a food predominance with a legal sales area greater than 2,500 m²), (ii) supermarkets (between 400 and 2,500 m²), (iii) specialized trade, (iv) small retail trade (less than 400 m²), (v) maxi-discount stores, (vi) mail order sales. However, the decision-making practice specifies that the area thresholds should be used with caution and may be adapted to the specific case, as stores whose area is close to a threshold, either below or above, may be in direct competition with stores of another category.</w:t>
        <w:br/>
        <w:t>26. Competition authorities consider that, while each category of store retains its specificity, there is asymmetric competition between certain of these categories. For the province, they thus distinguish37: (i) a market comprising only hypermarkets, and (ii) a market comprising supermarkets and equivalent forms of trade (hypermarkets, hard-discount, and popular stores) excluding small retail trade (less than 400 m²).</w:t>
        <w:br/>
        <w:t>27. In this case, the target point of sale operated by the company Sodipi under the E.Leclerc brand is a supermarket with a sales area of 1,630 m². The operation will therefore be analyzed in the supermarket market and equivalent forms of trade.</w:t>
      </w:r>
    </w:p>
    <w:p>
      <w:r>
        <w:t>2. GEOGRAPHICAL MARKETS</w:t>
        <w:br/>
        <w:t>28. Competition authorities have examined the effects of concentrations in the food-related retail distribution sector at the local level, corresponding to the catchment area associated with each store, the extent of which is dependent on the travel time for the consumer.</w:t>
        <w:br/>
        <w:t>29. The Competition Authority has emphasized that, for stores with an area greater than 400 m², the conditions of competition are assessed in two different areas:</w:t>
        <w:br/>
        <w:t>- a first market where the demand from consumers in one area meets the supply of hypermarkets to which they have access within less than 30 minutes of travel by car and which are, from their perspective, substitutable with each other,</w:t>
        <w:br/>
        <w:t>- and a second market where the demand from consumers meets the supply of supermarkets and equivalent forms of trade located within less than 15 minutes of travel by car. These latter forms of trade may include, in addition to supermarkets, hypermarkets located close to consumers and discount stores38.</w:t>
        <w:br/>
        <w:t>30. The Authority considers that the competitive analysis only pertains to the second market when the target store is a supermarket, the first market being taken into account only when the target store is a hypermarket39.</w:t>
        <w:br/>
        <w:t>31. However, the Authority consistently specifies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w:t>
        <w:br/>
        <w:t>32. In this case, given the characteristics of the target store, the analysis will focus on the area including the target supermarket and competing stores located within less than 15 minutes of travel by car.</w:t>
      </w:r>
    </w:p>
    <w:p>
      <w:r>
        <w:t>III. Competitive Analysis</w:t>
        <w:br/>
        <w:t>A. UPSTREAM SUPPLY MARKET</w:t>
        <w:br/>
        <w:t>33. Regarding the upstream supply market, the operation concerns only one store whose total purchase amount represents an extremely marginal share of the supply market. The purchasing power of the E.Leclerc movement is therefore not likely to be strengthened, across all products as well as by product categories.</w:t>
      </w:r>
    </w:p>
    <w:p>
      <w:r>
        <w:t>B. DOWNSTREAM FOOD DISTRIBUTION MARKET</w:t>
        <w:br/>
        <w:t>34. Regarding the downstream distribution market, the target store is a supermarket operated under the E.Leclerc brand, with an area of 1,630 m² and located in Pézenas (34).</w:t>
        <w:br/>
        <w:t>35. In the market comprising supermarkets and equivalent forms of trade located within a 15-minute drive around the target store located on Route de Tourbes in Pézenas (34), only the latter is present under the E.Leclerc brand and represents [5-10]% of sales areas. In this area, the Mouton spouses also operate a store under the Netto brand with an area of 950 m², representing [5-10]% of sales areas. Both stores will face competition from five different brands: Intermarché ([30-40]%), Carrefour ([20-30]%), Lidl ([10-20]%), Systeme U ([5-10]%), and Aldi ([0-5]%).</w:t>
        <w:br/>
        <w:t>36. Consequently, the operation is not likely to harm competition either in the downstream food distribution market or in the upstream supply market in the Pézenas (34) area.</w:t>
      </w:r>
    </w:p>
    <w:p>
      <w:r>
        <w:t>DECIDES</w:t>
        <w:br/>
        <w:t>Sole Article: The operation notified under number 16-002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