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https://www.autoritedelaconcurrence.fr/fr/decision-de-controle-des-concentrations/relative-la-prise-de-controle-conjoint-de-la-societe-sodyen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26-DCC-29 of January 26, 2026  </w:t>
        <w:br/>
        <w:t xml:space="preserve">regarding the joint control acquisition of the company Sodyen  </w:t>
        <w:br/>
        <w:t xml:space="preserve">by the Carrefour and Chalopin groups  </w:t>
        <w:br/>
        <w:t xml:space="preserve">The Competition Authority,  </w:t>
        <w:br/>
        <w:t xml:space="preserve">Having regard to the complete notification file sent to the mergers department on January 8, 2026,  </w:t>
        <w:br/>
        <w:t xml:space="preserve">concerning the joint control acquisition by the Carrefour and Chalopin groups of the company Sodyen,  </w:t>
        <w:br/>
        <w:t xml:space="preserve">formalized by a transfer promise signed on December 24,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joint control, by the Carrefour group and the  </w:t>
        <w:br/>
        <w:t xml:space="preserve">company Goliath owned by Mr. Chalopin, of the company Sodyen, which has for object  </w:t>
        <w:br/>
        <w:t xml:space="preserve">the operation of a supermarket-type business with a sales area of  </w:t>
        <w:br/>
        <w:t xml:space="preserve">1,754 m², operated under the Carrefour Market brand and located in Yenne (73). The operation constitutes  </w:t>
        <w:br/>
        <w:t xml:space="preserve">a concentration within the meaning of Article L. 430-1 of the Commercial Code. Given the revenues  </w:t>
        <w:br/>
        <w:t xml:space="preserve">generated by the companies concerned,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26-007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