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https://www.autoritedelaconcurrence.fr/fr/decision-de-controle-des-concentrations/relative-la-prise-de-controle-conjoint-de-la-societe-sodyso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25-DCC-304 of December 4, 2025</w:t>
        <w:br/>
        <w:t>regarding the joint control acquisition of the company Sodyso</w:t>
        <w:br/>
        <w:t>by the companies Novalis and ITM Entreprises</w:t>
        <w:br/>
        <w:t>The Competition Authority,</w:t>
        <w:br/>
        <w:t>Having regard to the complete notification file submitted to the mergers department on</w:t>
        <w:br/>
        <w:t>November 19, 2025, concerning the joint control acquisition of the company Sodyso by the companies</w:t>
        <w:br/>
        <w:t>Novalis and ITM Entreprises, formalized by a letter of intent accepted on November 4,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acquisition, by the company Novalis, with ITM Entreprises</w:t>
        <w:br/>
        <w:t>retaining a preferred share, of almost all the shares of the company Sodyso,</w:t>
        <w:br/>
        <w:t>which operates a retail business predominantly in food under the Intermarché brand, with a sales area of 2,250 m², located in Ysosse (40). This operation constitutes</w:t>
        <w:br/>
        <w:t>a concentration within the meaning of Article L. 430-1 of the Commercial Code. Given the revenues generated by the companies involved, the operation does not fall under the jurisdiction of</w:t>
        <w:br/>
        <w:t>the European Union. However, the control thresholds mentioned in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25-331 is authorized.</w:t>
        <w:br/>
        <w:t>The Vice-President,</w:t>
        <w:br/>
        <w:t>Vivien Terrien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