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https://www.autoritedelaconcurrence.fr/fr/decision-de-controle-des-concentrations/relative-la-prise-de-controle-conjoint-de-la-societe-sogope</w:t>
      </w:r>
    </w:p>
    <w:p>
      <w:r>
        <w:t>Pages translated : 2</w:t>
      </w:r>
    </w:p>
    <w:p/>
    <w:p>
      <w:r>
        <w:rPr>
          <w:b/>
        </w:rPr>
        <w:t>[Pages 1–2]</w:t>
      </w:r>
    </w:p>
    <w:p>
      <w:r>
        <w:t xml:space="preserve">FRENCH REPUBLIC  </w:t>
        <w:br/>
        <w:t xml:space="preserve">Letter No. 17-DCC-223 of December 22, 2017 to the legal representatives of the companies ITM Entreprises and Macrilou  </w:t>
        <w:br/>
        <w:t>regarding the joint control acquisition of the company Sogope by the companies ITM Entreprises and Macrilou</w:t>
      </w:r>
    </w:p>
    <w:p>
      <w:r>
        <w:t>Gentlemen,</w:t>
      </w:r>
    </w:p>
    <w:p>
      <w:r>
        <w:t>You notified the Autorité de la concurrence on November 21, 2017, of the joint control acquisition of the company Sogope by the companies ITM Entreprises and Macrilou, formalized by a purchase offer dated November 10, 2017.</w:t>
      </w:r>
    </w:p>
    <w:p>
      <w:r>
        <w:t>ITM Entreprises, a company 100% controlled by the Société Civile des Mousquetaires, itself owned by more than [...] individuals known as "associate members" and one legal entity, leads and manages the network of independent merchants known as the "Groupement des Mousquetaires". In its capacity as franchisor, ITM Entreprises has as its main activity the management of a network of retail outlets, both food and non-food, operated by independent merchants, under the following brands: Intermarché, Netto, Poivre Rouge, Bricomarché, Brico Cash, and Roady. This management is carried out notably through the signing and monitoring of brand contracts with the companies operating these retail outlets. ITM Entreprises also provides its franchisees with various services for prospecting, consulting, or training. Finally, ITM Entreprises controls several companies whose purpose is the production of consumer goods intended notably to be sold in the retail outlets of the network, and the provision of various services for the benefit of companies linked by a brand contract with ITM Entreprises, particularly in the areas of logistics, financing, IT, or training.</w:t>
      </w:r>
    </w:p>
    <w:p>
      <w:r>
        <w:t>Macrilou is the family holding company of the Scotto consortium. It controls the company Limacri, which operates a retail business predominantly focused on food, under the Intermarché brand, in Sanguinet (33).</w:t>
      </w:r>
    </w:p>
    <w:p>
      <w:r>
        <w:t>Sogope operates a food-dominant retail outlet, with an area of 1,200 m², under the Intermarché brand, in the city of Gradignan (33). It is currently owned by ITM Alimentaire Sud Ouest.</w:t>
      </w:r>
    </w:p>
    <w:p>
      <w:r>
        <w:t>The operation, formalized by a purchase offer dated November 10, 2017, consists of the acquisition by the companies ITM Entreprises and Macrilou of the company Sogope. Insofar as it results in the joint control of the company Sogope by the companies ITM Entreprises and Macrilou, the notified operation constitutes a concentration operation within the meaning of Article L. 430-1 of the Commercial Code.</w:t>
      </w:r>
    </w:p>
    <w:p>
      <w:r>
        <w:t>In this case, the companies concerned operate one or more retail stores in France.</w:t>
      </w:r>
    </w:p>
    <w:p>
      <w:r>
        <w:t xml:space="preserve">The companies concerned together achieve a total worldwide turnover excluding taxes of more than 75 million euros (ITM Entreprises: approximately [...] euros for the fiscal year ending December 31, 2016; Limacri: [...] euros for the same fiscal year; Sogope: [...] euros for the same fiscal year).  </w:t>
        <w:br/>
        <w:t xml:space="preserve">Only one of these companies has achieved a turnover in France exceeding 15 million euros (ITM Entreprises: approximately [...] euros for the fiscal year ending December 31, 2016).  </w:t>
        <w:br/>
        <w:t xml:space="preserve">Given these turnover figures, the control thresholds related to retail trade mentioned in point II of Article L. 430-2 of the Commercial Code are not exceeded.  </w:t>
        <w:br/>
        <w:t>Consequently, the operation notified under number 17-259 is not subject to the concentration control provided for in Articles L. 430-2 and following of the Commercial Code.</w:t>
      </w:r>
    </w:p>
    <w:p>
      <w:r>
        <w:t xml:space="preserve">The President,  </w:t>
        <w:br/>
        <w:t xml:space="preserve">Isabelle de Silva  </w:t>
        <w:br/>
        <w:t>© Autorité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