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https://www.autoritedelaconcurrence.fr/fr/decision-de-controle-des-concentrations/relative-la-prise-de-controle-conjoint-de-la-societe-soldis</w:t>
      </w:r>
    </w:p>
    <w:p>
      <w:r>
        <w:t>Pages translated : 2</w:t>
      </w:r>
    </w:p>
    <w:p/>
    <w:p>
      <w:r>
        <w:rPr>
          <w:b/>
        </w:rPr>
        <w:t>[Pages 1–2]</w:t>
      </w:r>
    </w:p>
    <w:p>
      <w:r>
        <w:t xml:space="preserve">FRENCH REPUBLIC  </w:t>
        <w:br/>
        <w:t xml:space="preserve">Decision No. 22-DCC-144 of August 5, 2022  </w:t>
        <w:br/>
        <w:t xml:space="preserve">regarding the joint control of the company Soldis by the  </w:t>
        <w:br/>
        <w:t xml:space="preserve">Carrefour group and the Tressol group  </w:t>
        <w:br/>
        <w:t xml:space="preserve">The Competition Authority,  </w:t>
        <w:br/>
        <w:t xml:space="preserve">Having regard to the complete notification file sent to the mergers department on July 21, 2022,  </w:t>
        <w:br/>
        <w:t xml:space="preserve">concerning the joint control of the company Soldis by the operating company Amidis et  </w:t>
        <w:br/>
        <w:t xml:space="preserve">Compagnie, a subsidiary of the Carrefour group, and the Tressol group, formalized by a promise of  </w:t>
        <w:br/>
        <w:t xml:space="preserve">transfer of business assets dated June 24, 2022, signed by all parties.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joint control by the Carrefour group and the Tressol group of the company Soldis, which operates a retail business predominantly in food under the "Carrefour Market" brand located in Toulon (83). It constitutes a concentration operation within the meaning of Article L. 430-1 of the Commercial Code. Given the turnover achieved by the concerned companies,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22-185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