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https://www.autoritedelaconcurrence.fr/fr/decision-de-controle-des-concentrations/relative-la-prise-de-controle-conjoint-de-la-societe-soudal</w:t>
      </w:r>
    </w:p>
    <w:p>
      <w:r>
        <w:t>Pages translated : 2</w:t>
      </w:r>
    </w:p>
    <w:p/>
    <w:p>
      <w:r>
        <w:rPr>
          <w:b/>
        </w:rPr>
        <w:t>[Pages 1–2]</w:t>
      </w:r>
    </w:p>
    <w:p>
      <w:r>
        <w:t xml:space="preserve">FRENCH REPUBLIC  </w:t>
        <w:br/>
        <w:t xml:space="preserve">Decision No. 15-DCC-158 of December 2, 2015  </w:t>
        <w:br/>
        <w:t xml:space="preserve">regarding the joint control acquisition of the company Soudal by the  </w:t>
        <w:br/>
        <w:t xml:space="preserve">company Epsan alongside ITM Entreprises  </w:t>
        <w:br/>
        <w:t>The Competition Authority,</w:t>
      </w:r>
    </w:p>
    <w:p>
      <w:r>
        <w:t>Having regard to the complete notification file submitted to the mergers department on October 30, 2015, concerning the joint control acquisition of the company Soudal by the company Epsan alongside ITM Entreprises, formalized by a transfer protocol dated July 21, 2015;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of the company Soudal, operating a food-dominant retail outlet under the Intermarché brand located in Saint Jean de Soudain (38), by the company Epsan alongside ITM Entreprises. This operation constitutes a concentration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15-190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