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https://www.autoritedelaconcurrence.fr/fr/decision-de-controle-des-concentrations/relative-la-prise-de-controle-conjoint-de-la-societe-ucab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25-DCC-111 of May 5, 2025  </w:t>
        <w:br/>
        <w:t xml:space="preserve">regarding the joint control acquisition of the company UCAB by the  </w:t>
        <w:br/>
        <w:t xml:space="preserve">Avril group and the cooperatives Dromoise de Céréales and Valsoleil  </w:t>
        <w:br/>
        <w:t xml:space="preserve">The Competition Authority,  </w:t>
        <w:br/>
        <w:t xml:space="preserve">Having regard to the complete notification file submitted to the mergers department on April 2, 2025,  </w:t>
        <w:br/>
        <w:t xml:space="preserve">concerning the joint control acquisition of the company UCAB by the Avril group and the cooperatives  </w:t>
        <w:br/>
        <w:t xml:space="preserve">Dromoise de Céréales and Valsoleil, formalized by the signing of the essential elements of the  </w:t>
        <w:br/>
        <w:t xml:space="preserve">negotiation of the partnership agreement on December 11,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notified operation consists of the joint control acquisition of the company UCAB by the company  </w:t>
        <w:br/>
        <w:t xml:space="preserve">Sanders Aurore, a subsidiary of the Avril group, on the one hand, and by the company Drome Finance on the  </w:t>
        <w:br/>
        <w:t xml:space="preserve">other hand, which is itself owned by Valsoleil and the Cooperative Dromoise de Céréales. The operation  </w:t>
        <w:br/>
        <w:t xml:space="preserve">constitutes a concentration within the meaning of Article L. 430-1 of the Commercial Code. Given  </w:t>
        <w:br/>
        <w:t xml:space="preserve">the turnover achieved by the companies concerned, the operation does not fall under the  </w:t>
        <w:br/>
        <w:t xml:space="preserve">jurisdiction of the European Union. On the other hand, the control thresholds mentioned in I of  </w:t>
        <w:br/>
        <w:t xml:space="preserve">Article L. 430-2 of the Commercial Code are exceeded. The present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25-076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