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https://www.autoritedelaconcurrence.fr/fr/decision-de-controle-des-concentrations/relative-la-prise-de-controle-conjoint-de-la-societe-vicre</w:t>
      </w:r>
    </w:p>
    <w:p>
      <w:r>
        <w:t>Pages translated : 5</w:t>
      </w:r>
    </w:p>
    <w:p/>
    <w:p>
      <w:r>
        <w:rPr>
          <w:b/>
        </w:rPr>
        <w:t>[Pages 1–3]</w:t>
      </w:r>
    </w:p>
    <w:p>
      <w:r>
        <w:t>FRENCH REPUBLIC</w:t>
        <w:br/>
        <w:t>Decision No. 09-DCC-80 of December 16, 2009</w:t>
        <w:br/>
        <w:t>regarding the joint control of the company Vicre by the company</w:t>
        <w:br/>
        <w:t>Distribution Casino France and Mr. Eric Le Bigot</w:t>
        <w:br/>
        <w:t>The Competition Authority,</w:t>
        <w:br/>
        <w:t>Having regard to the notification file submitted in full to the merger service on November 10, 2009, regarding the joint control of the company Vicre S.A.S. by the company Distribution Casino France and Mr. Eric Le Bigot, formalized by a shareholders' agreement dated November 3, 2009;</w:t>
        <w:br/>
        <w:t>Having regard to Book IV of the Commercial Code relating to price freedom and competition, and in particular Articles L. 430-1 to L. 430-7;</w:t>
        <w:br/>
        <w:t>Adopts the following decision:</w:t>
        <w:br/>
        <w:t>I. The companies concerned and the operation</w:t>
        <w:br/>
        <w:t>1. The company Distribution Casino France is a subsidiary of the Casino Guichard Perrachon group, which manages a varied portfolio of stores (hypermarkets, supermarkets, convenience stores, discount stores, etc.) under various brands such as Casino, Géant Franprix, and Leader Price. The Casino group also holds 50% of the Monoprix group. It is also present in the online distribution sector of non-food products under the brand Cdiscount. The Casino group is controlled directly and indirectly by the company Euris, which is itself controlled by Mr. Jean-Charles Naouri. Its total worldwide turnover excluding taxes in 2008, the last closed fiscal year, amounted to 29 billion euros, of which 19 billion euros in France.</w:t>
        <w:br/>
        <w:t>2. The company Vicre S.A.S. (hereinafter "Vicre") is a public limited company exclusively controlled by Mr. Eric Le Bigot, who holds 99.7% of the company's capital, the remainder being held by individuals and ITM Entreprises. The main purpose of the company Vicre is the operation of a food-oriented business located in Bazeilles (08140), currently operated under the Intermarché brand pursuant to an agreement and a supply contract concluded with ITM Entreprises, which were terminated on June 25, 2009, effective December 31, 2009. The company Vicre is also the owner of a service station located in Bazeilles, operated under a lease-management agreement by the company Remax, which is itself owned by the company Vicre and Mr. Le Bigot, as well as several holdings in service companies or real estate companies.</w:t>
        <w:br/>
        <w:t>3. According to the information provided by the parties, Mr. Eric Le Bigot also exercises joint control with ITM Entreprises over the company Bouliso, a public limited company whose purpose is the operation of a supermarket in Sedan under the Intermarché brand.</w:t>
        <w:br/>
        <w:t>4. In 2008, the last closed fiscal year, Mr. Eric Le Bigot achieved a turnover of 47 million euros exclusively in France, and almost exclusively in retail trade.</w:t>
        <w:br/>
        <w:t>5. Mr. Eric Le Bigot and Distribution Casino France entered into a shareholders' agreement dated November 3, 2009, resulting in various amendments to the articles of association of the company Vicre and the issuance of a preferred share reserved for Distribution Casino France. The new statutory provisions will stipulate that the main purpose of the company Vicre is the operation of the hypermarket and/or the service station in Bazeilles under the Casino group brand. Furthermore, they will grant Distribution Casino France, for a period of 7 years, a veto right over any statutory amendment and an enhanced right to information, as well as a preemption right in the event of a transfer of securities.</w:t>
        <w:br/>
        <w:t>6. Given the preceding elements, the operation will confer joint control to Distribution Casino France over the company Vicre with Mr. Eric Le Bigot. The notified operation therefore constitutes a concentration within the meaning of Article L. 430-1 of the Commercial Code. Considering the turnover of the companies concerned, it does not have a community dimension. However, the control thresholds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7. According to the consistent practice of national and community competition authorities, two categories of markets can be delineated in the food-oriented distribution sector, the only sector where the parties are simultaneously present near Bazeilles. These are, on the one hand, the "downstream" markets, of local dimension, which bring together retail companies and consumers for the sale of consumer goods, and, on the other hand, the "upstream" markets for supplying retail companies with everyday consumer goods, of national dimension.</w:t>
        <w:br/>
        <w:t>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r>
    </w:p>
    <w:p>
      <w:r>
        <w:t>A. DOWNSTREAM MARKETS OF FOOD-ORIENTED DISTRIBUTION</w:t>
        <w:br/>
        <w:t>1. SERVICE MARKETS</w:t>
        <w:br/>
        <w:t>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w:t>
        <w:br/>
        <w:t>9. Hypermarkets are usually defined as food-oriented stores with a sales area exceeding 2500 m2. It should be noted, however, that these thresholds must be used with caution and may be adapted to the specific case, stores whose area is near a threshold, either below or above, may find themselves in direct competition in practice.</w:t>
        <w:br/>
        <w:t>10. In this case, the acquired store has a sales area of 4,807 m2. This store therefore falls into the category of hypermarkets.</w:t>
        <w:br/>
        <w:t>2. GEOGRAPHICAL DELIMITATION</w:t>
        <w:br/>
        <w:t>11. In its recent decisions regarding operations involving food-oriented hypermarkets or supermarkets, the Competition Authority has recalled that depending on the size of the stores concerned, the conditions of competition should be assessed over two different areas:</w:t>
        <w:br/>
        <w:t>- a first area where the demand from consumers meets the supply of hypermarkets that they can access within less than 30 minutes of driving and which are, from their point of view, substitutable with each other;</w:t>
        <w:br/>
        <w:t>- a second area where the demand from consumers meets the supply of supermarkets and other equivalent forms of commerce located within less than 15 minutes of driving time. These latter forms of commerce may include, in addition to supermarkets, hypermarkets and discount stores.</w:t>
        <w:br/>
        <w:t>12. Other criteria may nevertheless be taken into account to assess the impact of a concentration on the competitive situation in retail distribution markets, which may lead to refining, in the specific case, the usual delimitations presented above.</w:t>
        <w:br/>
        <w:t>13. In this case, the store concerned by the operation occupies a sales area exceeding 2,500 m2 and falls into the category of hypermarkets, the competitive analysis will focus on a first market including hypermarkets located within a 30-minute catchment area around Bazeilles and on a second market, including all hypermarkets, supermarkets, and discount stores located within a 15-minute catchment area around Bazeilles.</w:t>
      </w:r>
    </w:p>
    <w:p>
      <w:r>
        <w:rPr>
          <w:b/>
        </w:rPr>
        <w:t>[Pages 4–5]</w:t>
      </w:r>
    </w:p>
    <w:p>
      <w:r>
        <w:t xml:space="preserve">B. UPSTREAM SUPPLY MARKETS  </w:t>
        <w:br/>
        <w:t xml:space="preserve">14. Regarding the supply markets, the European Commission6 has identified the existence of markets of national dimension by major product groups, a delineation followed by national authorities7.  </w:t>
        <w:br/>
        <w:t xml:space="preserve">15. There is no reason to challenge this delineation on the occasion of the present operation.  </w:t>
        <w:br/>
        <w:t xml:space="preserve">16. In the present case, the operation, which concerns only a single store, is not likely to significantly strengthen the purchasing power of the Casino group. Therefore, a competitive analysis will not be conducted.  </w:t>
        <w:br/>
        <w:t xml:space="preserve">III. Competitive Analysis  </w:t>
        <w:br/>
        <w:t xml:space="preserve">17. On the first downstream market of food-dominant distribution, including all hypermarkets located within a 30-minute catchment area around Bazeilles, no hypermarket is operated under a brand of the Casino group prior to the operation. The operation will therefore not result in an addition of market shares.  </w:t>
        <w:br/>
        <w:t xml:space="preserve">18. On the second downstream market of food-dominant distribution, including hypermarkets, supermarkets, and discount stores within a 15-minute driving distance around the hypermarket in Bazeilles, the market share of stores operated under a brand belonging to the Casino group will reach 30% after the operation, 26.4% for the hypermarket in Bazeilles, and 3.6% for two stores operated by franchisees under the Leader Price brand. In this area, the groups Leclerc (37.3% market share), Carrefour (13.2% market share), Aldi (6.9% market share), and Lidl (3.8% market share) are also present, as well as Intermarché through the supermarket jointly controlled by ITM Entreprises and Mr. Eric Le Bigot (8.8% market share).  </w:t>
        <w:br/>
        <w:t xml:space="preserve">19. Given the above elements, the operation is not likely to harm competition in the markets considered.  </w:t>
        <w:br/>
        <w:t xml:space="preserve">6 See the Commission decisions M. 1221 Rewe/Meinl of February 3, 1999, M.1684 Carrefour/Promodès of January 25, 2000, and M. 2115 Carrefour/GB of September 28, 2000.  </w:t>
        <w:br/>
        <w:t>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 xml:space="preserve">DECIDES  </w:t>
        <w:br/>
        <w:t xml:space="preserve">Single Article: The operation notified under number 09-0026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