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https://www.autoritedelaconcurrence.fr/fr/decision-de-controle-des-concentrations/relative-la-prise-de-controle-conjoint-de-la-societe-vinyce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11-DCC-51 of April 6, 2011  </w:t>
        <w:br/>
        <w:t xml:space="preserve">regarding the joint control acquisition of the company Vinyce SAS by the  </w:t>
        <w:br/>
        <w:t xml:space="preserve">companies ITM Entreprises and Vincel SAS  </w:t>
        <w:br/>
        <w:t xml:space="preserve">The Competition Authority,  </w:t>
        <w:br/>
        <w:t xml:space="preserve">Having regard to the complete notification file sent to the mergers department on March 18, 2011,  </w:t>
        <w:br/>
        <w:t xml:space="preserve">concerning the acquisition of the company Vinyce SAS by the companies ITM Entreprises and Vincel  </w:t>
        <w:br/>
        <w:t xml:space="preserve">SAS, formalized by a transfer agreement signed on February 16, 2011, and the adoption  </w:t>
        <w:br/>
        <w:t xml:space="preserve">by the company Vinyce SAS of the SAS Groupement statutes.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99% of the shares of Vinyce SAS, which operates  </w:t>
        <w:br/>
        <w:t xml:space="preserve">directly a retail outlet under the Intermarché brand in the town of Villards-sur-Thônes  </w:t>
        <w:br/>
        <w:t xml:space="preserve">(74), by the company Vincel SAS and the adoption by the company Vinyce SAS of the new  </w:t>
        <w:br/>
        <w:t xml:space="preserve">statutes "SAS Groupement," granting joint control to the company ITM Entreprises.  </w:t>
        <w:br/>
        <w:t xml:space="preserve">This operation constitutes a concentration operation within the meaning of Article L. 430-1 of the Commercial Code. Given the turnover generated by the companies involved,  </w:t>
        <w:br/>
        <w:t xml:space="preserve">the operation does not have a community dimension. On the other hand, the control thresholds  </w:t>
        <w:br/>
        <w:t xml:space="preserve">related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11-0052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