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https://www.autoritedelaconcurrence.fr/fr/decision-de-controle-des-concentrations/relative-la-prise-de-controle-conjoint-de-la-societe-wash</w:t>
      </w:r>
    </w:p>
    <w:p>
      <w:r>
        <w:t>Pages translated : 2</w:t>
      </w:r>
    </w:p>
    <w:p/>
    <w:p>
      <w:r>
        <w:rPr>
          <w:b/>
        </w:rPr>
        <w:t>[Pages 1–2]</w:t>
      </w:r>
    </w:p>
    <w:p>
      <w:r>
        <w:t xml:space="preserve">FRENCH REPUBLIC  </w:t>
        <w:br/>
        <w:t xml:space="preserve">Decision No. 25-DCC-184 of August 14, 2025  </w:t>
        <w:br/>
        <w:t xml:space="preserve">regarding the joint control acquisition of Wash Multifamily Holdings by Northleaf Capital Partners and Avalt  </w:t>
        <w:br/>
        <w:t xml:space="preserve">The Competition Authority,  </w:t>
        <w:br/>
        <w:t xml:space="preserve">Having regard to the complete notification file submitted to the mergers department on July 28, 2025, concerning the acquisition of control of Wash Multifamily Holdings by Northleaf Capital Partners and Avalt, formalized by a share purchase agreement signed on July 3, 2025;  </w:t>
        <w:br/>
        <w:t xml:space="preserve">Having regard to Book IV of the Commercial Code relating to the freedom of prices and competition, and in particular its Articles L. 430-1 to L. 430-7;  </w:t>
        <w:br/>
        <w:t xml:space="preserve">Having regard to the other documents in the file;  </w:t>
        <w:br/>
        <w:t xml:space="preserve">Adopts the following decision:  </w:t>
        <w:br/>
        <w:t xml:space="preserve">1. The notified operation consists of the indirect acquisition by, on the one hand, investment funds managed by Northleaf Capital Partners (Canada) Ltd. and, on the other hand, Avalt, LLC., of the joint control of Wash Multifamily Holdings Inc., which heads a group active in the provision of management services and equipment for collective laundries in the United States and Canada. Given the revenues generated by the companies concerned,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25-192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