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https://www.autoritedelaconcurrence.fr/fr/decision-de-controle-des-concentrations/relative-la-prise-de-controle-conjoint-de-la-societe-yocam</w:t>
      </w:r>
    </w:p>
    <w:p>
      <w:r>
        <w:t>Pages translated : 2</w:t>
      </w:r>
    </w:p>
    <w:p/>
    <w:p>
      <w:r>
        <w:rPr>
          <w:b/>
        </w:rPr>
        <w:t>[Pages 1–2]</w:t>
      </w:r>
    </w:p>
    <w:p>
      <w:r>
        <w:t xml:space="preserve">FRENCH REPUBLIC  </w:t>
        <w:br/>
        <w:t xml:space="preserve">Decision No. 23-DCC-155 of 27 July 2023  </w:t>
        <w:br/>
        <w:t xml:space="preserve">regarding the joint control acquisition of the company Yocam by the  </w:t>
        <w:br/>
        <w:t xml:space="preserve">companies Bambus and ITM Entreprises  </w:t>
        <w:br/>
        <w:t>The Competition Authority,</w:t>
      </w:r>
    </w:p>
    <w:p>
      <w:r>
        <w:t>Having regard to the complete notification file submitted to the mergers department on 4 July 2023, concerning the joint control acquisition of the company Yocam by the companies Bambus and ITM Entreprises, formalized by a share transfer agreement dated 23 June 2023;</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the companies Bambus and ITM Entreprises of the company Yocam, which operates a retail business fund predominantly in food of the hypermarket type with an area of 2,560 m² located in Gardanne (13).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23-180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