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https://www.autoritedelaconcurrence.fr/fr/decision-de-controle-des-concentrations/relative-la-prise-de-controle-conjoint-de-laboratoires</w:t>
      </w:r>
    </w:p>
    <w:p>
      <w:r>
        <w:t>Pages translated : 8</w:t>
      </w:r>
    </w:p>
    <w:p/>
    <w:p>
      <w:r>
        <w:rPr>
          <w:b/>
        </w:rPr>
        <w:t>[Pages 1–3]</w:t>
      </w:r>
    </w:p>
    <w:p>
      <w:r>
        <w:t xml:space="preserve">FRENCH REPUBLIC  </w:t>
        <w:br/>
        <w:t xml:space="preserve">Decision No. 15-DCC-140 of October 23, 2015  </w:t>
        <w:br/>
        <w:t>regarding the joint control acquisition of medical analysis laboratories by Euromezzanine and the Eimer consortium</w:t>
      </w:r>
    </w:p>
    <w:p>
      <w:r>
        <w:t xml:space="preserve">The Competition Authority,  </w:t>
        <w:br/>
        <w:t xml:space="preserve">Having regard to the notification file submitted in full to the merger service on September 18, 2015, concerning the joint control acquisition of the company Laboratoire Eimer by the company Euromezzanine alongside Mr. Eimer and the joint control by them and Mrs. Eimer of the companies LCD and Bio Lam, formalized by a mandate letter dated July 28, 2015, a protocol for acquisition and investment relating to LCD and Bio Lam dated July 29, 2015, a draft Term Sheet for investment and shareholders' agreement of the company Laboratoire Eimer, as well as a draft shareholders' agreement to be entered into between the company CAB and Mrs. Eimer;  </w:t>
        <w:br/>
        <w:t xml:space="preserve">Having regard to Book IV of the Commercial Code relating to price and competition freedom, and in particular its Articles L. 430-1 to L. 430-7;  </w:t>
        <w:br/>
        <w:t xml:space="preserve">Having regard to the supplementary elements transmitted by the parties during the investigation;  </w:t>
        <w:br/>
        <w:t>Adopts the following decision:</w:t>
      </w:r>
    </w:p>
    <w:p>
      <w:r>
        <w:t xml:space="preserve">I. The concerned companies  </w:t>
        <w:br/>
        <w:t>1. Euromezzanine Conseil is a management company approved by the Autorité des Marchés Financiers whose activity is the management of Euromezzanine funds, which are structured as professional private equity funds (hereinafter, "FPCI") and whose subscribers are institutional and private investors. Euromezzanine Conseil also manages the investments of the eight FPCI and a specialized professional investment fund. Euromezzanine Conseil is controlled by Mezzanine Capital Partners, which is itself controlled by the members of the investment committee of Euromezzanine Conseil, composed of individuals who do not hold any other controlling interests.</w:t>
      </w:r>
    </w:p>
    <w:p>
      <w:r>
        <w:t>2. Laboratoire Eimer, the parent company of the Biogroup, is owned more than 77.12% and exclusively controlled by Mr. Eimer, a biologist practicing within it. Laboratoire Eimer directly and indirectly holds seven companies, each owning several medical analysis laboratories, collectively forming Biogroup, which operates a total of 82 medical biology sites in eastern France (Alsace, Lorraine, Franche-Comté, and Burgundy). Laboratoire Eimer currently holds 99.2% of the capital of the company CAB. The latter is the holding company of Biogroup and will serve as the acquisition vehicle for the purposes of this operation. These laboratories provide routine and specialized medical biology analysis services.</w:t>
      </w:r>
    </w:p>
    <w:p>
      <w:r>
        <w:t>3. Mrs. Eimer, the wife of Mr. Eimer, will also intervene in the context of this operation. She does not control any economic activity prior to the concentration.</w:t>
      </w:r>
    </w:p>
    <w:p>
      <w:r>
        <w:t>4. The company LCD and Bio Lam, its subsidiary, are the targets of the notified operation. The LCD group (hereinafter, "LCD") is currently controlled by the companies [confidential] as well as by the biologists practicing within it. The LCD group specializes in routine medical biology analysis and consists of a network of 45 medical biology sites located in Île-de-France. LCD also provides specialized analyses in several fields.</w:t>
      </w:r>
    </w:p>
    <w:p>
      <w:r>
        <w:t xml:space="preserve">II. The operation  </w:t>
        <w:br/>
        <w:t>5. The notified operation consists of three concomitant, legally linked, and conditional phases. Indeed, following a mandate letter dated July 28, 2015, and a protocol for acquisition and investment relating to LCD and Bio Lam dated July 29, 2015, Euromezzanine contributes to the financing of the acquisition of the target companies through its joint control acquisition of Laboratoire Eimer and on the condition that a firm agreement for the acquisition of the companies LCD and Bio Lam has been reached. Consequently, the three phases described below are interdependent and constitute a single operation.</w:t>
      </w:r>
    </w:p>
    <w:p>
      <w:r>
        <w:t>6. Prior to the operation, Biogroup will have been restructured to have a dual holding level: Laboratoire Eimer, the top holding company whose capital and voting rights will be held by more than 50% by Mr. Eimer, a practicing biologist within this company, and the company CAB, which is itself controlled by Laboratoire Eimer.</w:t>
      </w:r>
    </w:p>
    <w:p>
      <w:r>
        <w:t>7. The first phase consists of the joint control acquisition of Laboratoire Eimer by Euromezzanine alongside Mr. Eimer. In exchange for a contribution of […] euros, Euromezzanine will subscribe to convertible bonds issued by Laboratoire Eimer that will entitle it, upon conversion, to […] % of the capital. Euromezzanine will also have a veto right over certain strategic decisions of Laboratoire Eimer, including the adoption and any significant modification of the annual budget of the company and its subsidiaries, any investment with a cumulative amount exceeding 2.5% of the consolidated turnover as well as the recruitment, dismissal, or removal of executive officers.</w:t>
      </w:r>
    </w:p>
    <w:p>
      <w:r>
        <w:t>8. The second phase concerns the joint control acquisition of LCD by the company CAB, which will be jointly controlled by Euromezzanine and Mr. Eimer through their joint subsidiary Laboratoire Eimer, and by Mrs. Eimer, Mr. Eimer's spouse. Upon completion of the operation, CAB and Mrs. Eimer, through her Société de Participations Financières de Professions Libérales, will each hold 49.99% of the capital and voting rights. The remainder will be held by other biologists active within the company. Thus, neither CAB nor Mrs. Eimer will be able to exercise sole decisive influence over LCD, the collective decisions, including some relating to strategic decisions, requiring 51% of the voting rights of the partners. However, the provisions of a draft shareholders' agreement provide that CAB and Mrs. Eimer must consult beforehand and vote in the same direction to adopt the collective decisions by the required majority, including strategic decisions relating to the annual budget, financing plan, and three-year development plan of LCD, investments, as well as the recruitment or dismissal of employees whose gross monthly salary exceeds 2,000 euros.</w:t>
      </w:r>
    </w:p>
    <w:p>
      <w:r>
        <w:t>9. In addition to these provisions and the marital ties between the Eimer consortium members, there are sufficiently strong common interests between the parties resulting from the structuring of the operation, since Mrs. Eimer has the capacity to exercise the function of biologist within LCD, which Mr. Eimer cannot do, already exercising his functions as a biologist within Laboratoire Eimer. Furthermore, Mrs. Eimer's control acquisition is almost entirely financed by CAB, which is then intended to hold […] % of the dividend rights in LCD.</w:t>
      </w:r>
    </w:p>
    <w:p>
      <w:r>
        <w:t>10. The third phase consists of the acquisition of control of Bio Lam by CAB. Upon completion of the operation, CAB will hold […] % of the capital and […] % of the voting rights of Bio Lam. The remainder of the capital will be held by the company Audacia and 18 biologists practicing within the company, the latter holding […] % of the voting rights. However, none of the biologists present in the capital will hold more than 3% of the voting rights and will not be able to block the decisions of the majority shareholder. Moreover, the parties indicate that it is established that biologists holding voting rights in a liberal medical biology practice company of type 5-1 do not oppose decisions made by the majority partner, particularly given the existing subordination link with the laboratory and the corresponding existence of a sufficiently strong common interest not to oppose each other in the exercise of their rights. This observation is verified in this case, the historical analysis of general meetings since 2009 showing that the biologists practicing within Bio Lam systematically vote in the same direction as the majority shareholders.</w:t>
      </w:r>
    </w:p>
    <w:p>
      <w:r>
        <w:t>11. In light of the above, the operation results in the joint control acquisition of the company Laboratoire Eimer and the target companies by Euromezzanine and the Eimer consortium and constitutes a concentration within the meaning of Article L. 430-1 of the Commercial Code.</w:t>
      </w:r>
    </w:p>
    <w:p>
      <w:r>
        <w:t>12. The concerned companies together achieve a total turnover excluding taxes on a global scale of more than 150 million euros (Euromezzanine: […] euros for the fiscal year ending December 31, 2014; Mr. Eimer (Biogroup): […] euros for the same fiscal year; target companies: […] euros for the same fiscal year). Two of the companies have achieved a turnover in France exceeding 50 million euros (Mr. Eimer (Biogroup): […] euros for the fiscal year ending December 31, 2014; target companies: […] euros for the same fiscal year). Given these turnover figures, the operation does not fall under the jurisdiction of the European Union. On the other hand, the control thresholds mentioned in point I of Article L. 430-2 of the</w:t>
      </w:r>
    </w:p>
    <w:p>
      <w:r>
        <w:rPr>
          <w:b/>
        </w:rPr>
        <w:t>[Pages 4–6]</w:t>
      </w:r>
    </w:p>
    <w:p>
      <w:r>
        <w:t>the commercial code are exceeded. This operation is therefore subject to the provisions of Articles L. 430-3 and following of the commercial code relating to economic concentration.</w:t>
      </w:r>
    </w:p>
    <w:p>
      <w:r>
        <w:t>III. Delimitation of Relevant Markets</w:t>
      </w:r>
    </w:p>
    <w:p>
      <w:r>
        <w:t>13. The parties to the operation are simultaneously present in the medical biology sector and procure equipment, reagents, and consumables for biology.</w:t>
      </w:r>
    </w:p>
    <w:p>
      <w:r>
        <w:t>A. MARKETS FOR MEDICAL BIOLOGY EXAMINATION SERVICES</w:t>
      </w:r>
    </w:p>
    <w:p>
      <w:r>
        <w:t>1. SERVICE MARKETS</w:t>
      </w:r>
    </w:p>
    <w:p>
      <w:r>
        <w:t>14. National and European competition authorities have identified a market for the provision of medical biology analyses. They have also considered, while leaving the question open, a segmentation between "routine" or specialized examinations. Decision-making practice indeed notes that the activity of routine medical biology laboratories is not substitutable with that of specialized laboratories that handle rare biological acts and are subject to specific ministerial approval.</w:t>
      </w:r>
    </w:p>
    <w:p>
      <w:r>
        <w:t>15. Medical biology examinations must be carried out by a medical biologist or under their responsibility within a medical biology laboratory (hereinafter "LBM"). The rates for medical biology acts are also set by a tripartite agreement between the National Health Insurance Fund, the State, and the representative unions of LBM directors based on a "nomenclature of acts" that imposes medical indications on prescribers that condition reimbursement by health insurance organizations as well as on LBMs.</w:t>
      </w:r>
    </w:p>
    <w:p>
      <w:r>
        <w:t>16. The demand for routine medical biology examinations primarily comes from patients, while the demand for specialized examinations comes from LBMs and hospitals. Consumers are free to have their medical biology analyses performed in private LBMs or in LBMs located within a hospital establishment (health establishments, hospitals, university hospital centers).</w:t>
      </w:r>
    </w:p>
    <w:p>
      <w:r>
        <w:t>17. The supply of specialized medical biology analyses comes from only a few laboratories such as Cerba European Labs (hereinafter "CEL"), Biomnis, BPR, and university hospital centers. It consists of subcontracting services entrusted by LBMs, within the limit of 15% of the total activities of the LBM.</w:t>
      </w:r>
    </w:p>
    <w:p>
      <w:r>
        <w:t>18. The question of the exact definition of these markets can, however, be left open in the present case, as the conclusions of the analysis will remain unchanged regardless of the delimitation retained.</w:t>
      </w:r>
    </w:p>
    <w:p>
      <w:r>
        <w:t>2. GEOGRAPHICAL MARKETS</w:t>
      </w:r>
    </w:p>
    <w:p>
      <w:r>
        <w:t>19. Decision-making practice has considered, while leaving the question open, to retain a national dimension for the market of specialized medical biology analyses and a local dimension for the market of routine medical biology analyses. Thus, competition authorities have examined the effects of operations in this sector at the regional or sub-regional level, even at the departmental level.</w:t>
      </w:r>
    </w:p>
    <w:p>
      <w:r>
        <w:t>20. In the sector of diagnostic and care provision in establishments, national decision-making practice consistently considers that the Île-de-France region constitutes a unique geographical market and that it is not relevant to distinguish between Paris intramuros and neighboring departments. It indeed notes that Île-de-France is characterized by a very high mobility of patients, particularly given the extensive offer of care establishments and the existence of regional, even national, attraction poles. The information provided by the parties confirms this approach. The extent of the observed leakage rates indeed demonstrates that patients from Île-de-France frequently seek treatment outside their department of origin.</w:t>
      </w:r>
    </w:p>
    <w:p>
      <w:r>
        <w:t>21. In this case, the LBMs of Biogroup are located in eastern France, in the departments of Côte d'Or, Bas-Rhin, Haut-Rhin, Haute-Saône, and Moselle. The LBMs of LCD are located in Île-de-France. The operation therefore does not present any overlaps in activity in the market for routine medical biology geographically. They are, however, simultaneously present in the market for specialized medical biology analyses.</w:t>
      </w:r>
    </w:p>
    <w:p>
      <w:r>
        <w:t>22. The question of the exact geographical delimitation of the markets for medical biology analyses can, however, be left open in the present case as the conclusions of the analysis will remain unchanged, regardless of the delimitation retained.</w:t>
      </w:r>
    </w:p>
    <w:p>
      <w:r>
        <w:t>B. THE MARKET FOR SUPPLYING EQUIPMENT, REAGENTS, AND BIOLOGY CONSUMABLES</w:t>
      </w:r>
    </w:p>
    <w:p>
      <w:r>
        <w:t>1. PRODUCT MARKETS</w:t>
      </w:r>
    </w:p>
    <w:p>
      <w:r>
        <w:t>23. Decision-making practice has considered segmenting the market for the supply of laboratory equipment, reagents, and consumables into nearly as many sectors of activity as there are products or consumables concerned by the analyses (culture media and serums, products for activating genes, magnetic beads, etc.). The European Commission has thus adopted the classification of in vitro diagnostic products used by the European Diagnostic Manufacturers Association (EDMA), which classifies reagents and consumables into six main categories ("first level"): clinical chemistry, immunochemistry, hematology/histology, microbiology, infectious immunology, and genetic tests, and then into additional subcategories within each of them. In this case, the parties to the operation act as buyers in this market and have communicated the amount of their purchases by product category.</w:t>
      </w:r>
    </w:p>
    <w:p>
      <w:r>
        <w:t>24. The question of the exact definition of the markets for supplying equipment, reagents, and biology consumables can be left open as, regardless of the delimitation retained, the conclusions of the competitive analysis will remain unchanged.</w:t>
      </w:r>
    </w:p>
    <w:p>
      <w:r>
        <w:t>2. GEOGRAPHICAL MARKETS</w:t>
      </w:r>
    </w:p>
    <w:p>
      <w:r>
        <w:t>25. Decision-making practice considers that the geographical dimension of the markets for supplying equipment, reagents, and biology consumables could be of European, or even global, dimension. While leaving the question open, it has also examined, in previous operations, the effects on the supplier and wholesaler network at the national level only.</w:t>
      </w:r>
    </w:p>
    <w:p>
      <w:r>
        <w:t>26. In this case, the notifying parties indicate that Biogroup and LCD sourced in France for a total amount of […] and […] euros respectively in 2014. They consider that this market is of global dimension due to the global nature of most suppliers (Roche, Abbott, Siemens, BioMérieux, VWWR International, Agilent Technologies, or Danaher (Beckman Coulter)). They have thus provided an estimate of the share of the new entity's purchases at the global, European, and national levels.</w:t>
      </w:r>
    </w:p>
    <w:p>
      <w:r>
        <w:t>27. The question of the exact delimitation of the markets for supplying equipment, reagents, and biology consumables can, however, be left open, as the conclusions of the competitive analysis will remain unchanged regardless of the delimitation retained.</w:t>
      </w:r>
    </w:p>
    <w:p>
      <w:r>
        <w:rPr>
          <w:b/>
        </w:rPr>
        <w:t>[Pages 7–8]</w:t>
      </w:r>
    </w:p>
    <w:p>
      <w:r>
        <w:t>IV. Competitive Analysis</w:t>
      </w:r>
    </w:p>
    <w:p>
      <w:r>
        <w:t>A. MARKET FOR THE SUPPLY OF EQUIPMENT, REAGENTS, AND BIOLOGY CONSUMABLES</w:t>
      </w:r>
    </w:p>
    <w:p>
      <w:r>
        <w:t>28. The notifying parties indicate that the combined purchases of Biogroup and LCD in this market amounted to […] euros in 2014, entirely in France, representing approximately [10-20]% of their turnover. They further estimated the total turnover of the market for equipment, reagents, and consumables at 1.3 billion euros in 2011. The notifying parties thus estimate that Biogroup and LCD would hold a combined market share of [0-5]% in France. They believe that their market share would necessarily be much lower at the European and global levels, regardless of the category of products considered.</w:t>
      </w:r>
    </w:p>
    <w:p>
      <w:r>
        <w:t>29. Consequently, the operation is not likely to harm competition in the market for the supply of equipment, reagents, and biology consumables.</w:t>
      </w:r>
    </w:p>
    <w:p>
      <w:r>
        <w:t>B. MARKETS FOR MEDICAL BIOLOGY ANALYSES</w:t>
      </w:r>
    </w:p>
    <w:p>
      <w:r>
        <w:t>30. In the French market for medical biology analyses, the notifying parties estimate that Biogroup and LCD would represent [0-5]% and [0-5]% of market share, respectively. The notifying party indicates that approximately 2,500 medical biology companies operate nearly 4,000 LBM sites, in addition to health establishments (hospitals and clinics). Biogroup and LCD hold 82 and 45 LBM sites, respectively. Thus, the new entity would have an estimated market share of [0-5]% in a relatively fragmented market.</w:t>
      </w:r>
    </w:p>
    <w:p>
      <w:r>
        <w:t>31. In the market for specialized medical biology analyses, the new entity will have an estimated market share of [5-10]% ([0-5]% for Biogroup and [5-10]% for LCD), with [0-5]% and [0-5]% subcontracted to CEL and Biomnis, respectively. Its main competitors will remain Biomnis ([50-60]%) and CEL.</w:t>
      </w:r>
    </w:p>
    <w:p>
      <w:r>
        <w:t>32. Consequently, the operation is not likely to harm competition in the market for medical biology analyses.</w:t>
      </w:r>
    </w:p>
    <w:p>
      <w:r>
        <w:t>10 The notifying parties relied on a report from the Cour des Comptes on "Medical Biology" dated July 2013, which indicates a total amount of expenditures for medical biology analyses of 7.2 billion euros in 2011 and under the assumption that, on average, supplies of equipment, reagents, and consumables represent 18% of the turnover of medical biology laboratories based on the Xerfi study of July 2014 "Medical Biology Laboratories."</w:t>
      </w:r>
    </w:p>
    <w:p>
      <w:r>
        <w:t>DECIDES</w:t>
      </w:r>
    </w:p>
    <w:p>
      <w:r>
        <w:t>Sole Article: The operation notified under number 15-158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