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https://www.autoritedelaconcurrence.fr/fr/decision-de-controle-des-concentrations/relative-la-prise-de-controle-conjoint-de-lagence-pour-la</w:t>
      </w:r>
    </w:p>
    <w:p>
      <w:r>
        <w:t>Pages translated : 4</w:t>
      </w:r>
    </w:p>
    <w:p/>
    <w:p>
      <w:r>
        <w:rPr>
          <w:b/>
        </w:rPr>
        <w:t>[Pages 1–3]</w:t>
      </w:r>
    </w:p>
    <w:p>
      <w:r>
        <w:t xml:space="preserve">FRENCH REPUBLIC  </w:t>
        <w:br/>
        <w:t xml:space="preserve">Decision No. 15-DCC-163 of December 14, 2015  </w:t>
        <w:br/>
        <w:t>regarding the joint control of the Agence pour la Diffusion de l’Information Technologique by Bpifrance Investissement and Weinberg Capital Partners</w:t>
      </w:r>
    </w:p>
    <w:p>
      <w:r>
        <w:t xml:space="preserve">The Competition Authority,  </w:t>
        <w:br/>
        <w:t xml:space="preserve">Having regard to the notification file, submitted in full to the merger service on November 6, 2015, regarding the joint control of the Agence pour la Diffusion de l’Information Technologique by Bpifrance Investissement and Weinberg Capital Partners, formalized by a share transfer agreement dated July 30, 2015, two shareholders' agreements, and a shareholders' pact dated October 28, 2015;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Bpifrance Investissement is a management company approved by the Autorité des marchés financiers that manages two professional private equity funds (hereinafter "FPCI") France Investissement Croissance 5 and France Investissements Régions 1. Bpifrance Investissement is 100% owned by Bpifrance Participations, which is itself 100% owned by BPI-Groupe SA, the company at the head of the BPI group (hereinafter "BPI"). BPI, jointly owned and controlled by the French State and the Caisse des Dépôts et Consignations (hereinafter "CDC"), was created by Law No. 2012-1559 of December 31, 2012, relating to the creation of the Public Investment Bank: it constitutes a "public group at the service of financing and developing businesses, acting in support of public policies conducted by the State and by the regions" and controls companies active in various sectors.  </w:t>
        <w:br/>
        <w:t>1 See the decision of the Competition Authority No. 13-DCC-81 of July 2, 2013, regarding the creation of the Public Investment Bank, a joint venture of the French State and the Caisse des Dépôts et Consignations.</w:t>
      </w:r>
    </w:p>
    <w:p>
      <w:r>
        <w:t xml:space="preserve">2. The CDC notably holds the Société Centrale d’Équipement des Territoires (hereinafter, "SCET"), whose activity is advising local authorities and their local public enterprises, mixed economy companies, and social landlords, both in mainland France and overseas, in the fields of development, service management, and real estate.  </w:t>
        <w:br/>
        <w:t xml:space="preserve">3. Weinberg Capital Partners (hereinafter "Weinberg") is a simplified joint-stock company, approved by the Autorité des marchés financiers, and active in the private equity management sector. It manages the two FPCI, WCP #1 and WCP #2. It does not hold any stakes in a company conducting the same activity as the Agence pour la Diffusion de l’Information Technologique (hereinafter "Adit").  </w:t>
        <w:br/>
        <w:t xml:space="preserve">4. Adit is a public limited company active in the management consulting sector for businesses. Adit is jointly controlled by the Agence des participations de l’Etat (hereinafter, "APE") and Butler Capital Partner.  </w:t>
        <w:br/>
        <w:t xml:space="preserve">5. By means of two successive, distinct, and independent operations, Adit will be jointly controlled by Weinberg and Bpifrance Investissement. The first operation consists of the acquisition by a holding company, Financière Tess, whose exclusive control will be held by the FPCI WCP#2, of the current stake of Butler Capital Partners in Adit. The second operation consists of the joint control of Adit by two FPCI managed by Bpifrance Investissement (France Investissement Croissance 5 and France Investissement Régions 1), which will then acquire the majority of APE's stake in the capital of Adit.  </w:t>
        <w:br/>
        <w:t xml:space="preserve">6. Thus, under the shareholders' agreements and the shareholders' pact dated October 28, 2015, Weinberg will hold 66% of the capital and voting rights of Adit. The remainder will be held by the holding company SP, exclusively controlled by Bpifrance Investissement. However, the strategic decisions of Adit, including the election of the chairman of the board of directors, the appointment of the managing director, and the adoption of the strategic plan and the medium-term plan, cannot be validly adopted without the agreement of at least the majority of the members of the board of directors designated by Bpifrance Investissement via Holding SP.  </w:t>
        <w:br/>
        <w:t xml:space="preserve">7. Insofar as it leads to the joint control of Adit by BPI and Weinberg, the operation constitutes a concentration within the meaning of Article L. 430-1 of the Commercial Code.  </w:t>
        <w:br/>
        <w:t xml:space="preserve">8. The concerned companies together achieve a total worldwide turnover of more than 150 million euros (BPI: […] euros for the fiscal year ending December 31, 2014; Weinberg Capital Partners […] euros for the same fiscal year; Adit: […] euros for the same fiscal year)2. Two of these companies achieve a turnover in France exceeding 50 million euros (BPI: […] euros for the fiscal year ending December 31, 2014; Weinberg Capital Partners: […] euros for the same fiscal year; Adit: […] euros for the same fiscal year). Given these turnover figures, the thresholds set out in Article 1, paragraph 2, a) and b) of Council Regulation (EC) No. 139/2004 of January 20, 2004, are met. However, since each of the concerned companies generates more than two-thirds of their turnover in France, the operation does not fall under the jurisdiction of the European Union.  </w:t>
        <w:br/>
        <w:t>2 Regarding the calculation of the turnover of public companies, the Competition Authority indicated in its decision No. 13-DCC-81 of July 2, 2013, regarding the creation of the Public Investment Bank, a joint venture of the French State and the Caisse des Dépôts et Consignations, that only companies belonging to the same economic entity with the same autonomous decision-making power, regardless of their capital ownership or the administrative oversight rules applicable to them, are taken into account, and not all companies owned by the State. When a public company is not coordinated with other groups controlled by the State, it should be treated as an autonomous group for the purposes of calculating turnover and the turnover of other companies owned by the State should not be considered. Conversely, when several public companies fall under an autonomous center of commercial decision-making, the turnover of all these companies should be taken into account.</w:t>
      </w:r>
    </w:p>
    <w:p>
      <w:r>
        <w:t>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9. The decisional practice has considered that consulting activities for businesses cover six distinct markets: (i) the market for management consulting services, (ii) the market for financial advisory and assistance services to businesses, (iii) the market for tax advisory and assistance services, (iv) the market for consulting services to distressed businesses, (v) the market for audit and accounting expertise services to small and medium-sized enterprises, and (vi) the market for audit and accounting expertise services to large enterprises and listed companies.  </w:t>
        <w:br/>
        <w:t xml:space="preserve">10. The European Commission subsequently considered segmenting the management consulting market according to the services offered, distinguishing investment management consulting4, human resources consulting5, and insurance consulting6 without, however, resolving the issue of the exact delimitation of the relevant market.  </w:t>
        <w:br/>
        <w:t xml:space="preserve">11. In this case, Adit and SCET are simultaneously active in the management consulting sector for businesses.  </w:t>
        <w:br/>
        <w:t xml:space="preserve">12. The decisional practice has defined the market for management consulting for businesses at the national level without excluding that some operators compete at the international level7. In this case, the parties to the operation provided an estimate of their market share at the national level as they generate all their turnover there, as well as at the European level.  </w:t>
        <w:br/>
        <w:t>13. In any case, the conclusions of the competitive analysis remain unchanged regardless of the delimitation retained, the question of the precise definition of the consulting markets for businesses can be left open.</w:t>
      </w:r>
    </w:p>
    <w:p>
      <w:r>
        <w:t xml:space="preserve">III. Competitive Analysis  </w:t>
        <w:br/>
        <w:t xml:space="preserve">14. In the national markets for consulting services to businesses, regardless of the segmentation retained, the market share of the new entity will remain below [0-5]%  </w:t>
        <w:br/>
        <w:t xml:space="preserve">3 See the decisions of the European Commission No. COMP/M.1016 of May 20, 1998, Price Waterhouse/Coopers&amp;Lybrand; No. COMP/M. 2816 of September 5, 2002, Ernst &amp; Young/Andersen France; No. COMP/M.5597 of December 9, 2009, Towers Perrin/Watson Wyatt, and the letter from the Minister of Economy C2006-91 of December 15, 2006, to the board of Deloitte, regarding a concentration in the audit, accounting expertise, and consulting sectors.  </w:t>
        <w:br/>
        <w:t xml:space="preserve">4 Decision No. COMP/M.5597 Towers Perrin/Watson Wyatt of December 9, 2009 and No. COMP/M.5951 Aon Corporation/Hewitt Associates of September 28, 2010  </w:t>
        <w:br/>
        <w:t xml:space="preserve">5 Decision No. COMP/M.5009 Randstad/Vedior of April 17, 2008  </w:t>
        <w:br/>
        <w:t xml:space="preserve">6 Decision No. COMP/M.5597 Towers Perrin/Watson Wyatt of December 9, 2009  </w:t>
        <w:br/>
        <w:t>7 See the aforementioned decisions.</w:t>
      </w:r>
    </w:p>
    <w:p>
      <w:r>
        <w:rPr>
          <w:b/>
        </w:rPr>
        <w:t>[Pages 4–4]</w:t>
      </w:r>
    </w:p>
    <w:p>
      <w:r>
        <w:t>at the end of the operation. It will continue to face competition from numerous operators, some belonging to large international groups, including Accenture (11.5%), Capgemini Consulting (3.5%), CSC Computer Sciences (8%), KPMG (4.5%), and the CGI group (4%).</w:t>
      </w:r>
    </w:p>
    <w:p>
      <w:r>
        <w:t>15. In a European market for management consulting services, the parties to the operation estimated their combined market share at [0-5]%.</w:t>
      </w:r>
    </w:p>
    <w:p>
      <w:r>
        <w:t>16. Consequently, the operation is not likely to harm competition in the market for management consulting services to businesses.</w:t>
      </w:r>
    </w:p>
    <w:p>
      <w:r>
        <w:t>DECIDES</w:t>
      </w:r>
    </w:p>
    <w:p>
      <w:r>
        <w:t>Sole Article: The operation notified under number 15-179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