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https://www.autoritedelaconcurrence.fr/fr/decision-de-controle-des-concentrations/relative-la-prise-de-controle-conjoint-de-lampiris-sa-par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13-DCC-139 of October 14, 2013  </w:t>
        <w:br/>
        <w:t xml:space="preserve">regarding the joint control acquisition of Lampiris SA by Gimv NV,  </w:t>
        <w:br/>
        <w:t xml:space="preserve">Gimv-XL Partners Comm. VA and Adviesbeheer Gimv XL NV as well  </w:t>
        <w:br/>
        <w:t xml:space="preserve">as by the Société Régionale d’Investissement de Wallonie SA and Messrs.  </w:t>
        <w:br/>
        <w:t xml:space="preserve">Vanderschueren and Venanzi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19, 2013, concerning the joint control acquisition of Lampiris SA by Gimv NV, Gim-  </w:t>
        <w:br/>
        <w:t xml:space="preserve">XL Partners Comm.VA and Adviesbeheer Gimv XL NV as well as by the Société Régionale  </w:t>
        <w:br/>
        <w:t xml:space="preserve">d’Investissement de Wallonie SA alongside Messrs. Vanderschueren and Venanzi;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supplementary elements transmitted by the parties during the investigation;  </w:t>
        <w:br/>
        <w:t xml:space="preserve">Adopts the following decision:  </w:t>
        <w:br/>
        <w:t xml:space="preserve">1. Gimv NV, Gimv-XL Partners Comm.VA and Adviesbeheer Gimv XL NV (hereinafter Gimv)  </w:t>
        <w:br/>
        <w:t xml:space="preserve">constitute an investment company listed on the NYSE Brussels whose main shareholder is a public  </w:t>
        <w:br/>
        <w:t xml:space="preserve">investment company of the Flemish region (Vlaamse Participatiemaatschappij). Alongside the  </w:t>
        <w:br/>
        <w:t xml:space="preserve">Société Régionale d’Investissement de Wallonie and Messrs. Vanderschueren and Venanzi, Gimv  </w:t>
        <w:br/>
        <w:t xml:space="preserve">takes joint control of the company Lampiris, active in the markets of gas and electricity supply and  </w:t>
        <w:br/>
        <w:t xml:space="preserve">trading. This operation constitutes a concentration within the meaning of Article L. 430-1 of the  </w:t>
        <w:br/>
        <w:t xml:space="preserve">Commercial Code. Given the revenues generated by the companies concerned, the operation does  </w:t>
        <w:br/>
        <w:t xml:space="preserve">not have a community dimension. On the other hand, the control thresholds mentioned in point I of  </w:t>
        <w:br/>
        <w:t xml:space="preserve">Article L. 430-2 of the Commercial Code are exceeded. This operation is therefore subject to the  </w:t>
        <w:br/>
        <w:t xml:space="preserve">provisions of Articles L. 430-3 and following of the Commercial Code relating to economic  </w:t>
        <w:br/>
        <w:t xml:space="preserve">concentration.  </w:t>
        <w:br/>
        <w:t xml:space="preserve">2. In light of the elements of the file, the operation is not likely to harm competition in the  </w:t>
        <w:br/>
        <w:t>concerned markets.</w:t>
      </w:r>
    </w:p>
    <w:p>
      <w:r>
        <w:t xml:space="preserve">DECIDES  </w:t>
        <w:br/>
        <w:t xml:space="preserve">Sole Article: The operation notified under number 13-150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