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https://www.autoritedelaconcurrence.fr/fr/decision-de-controle-des-concentrations/relative-la-prise-de-controle-conjoint-de-lextension-du</w:t>
      </w:r>
    </w:p>
    <w:p>
      <w:r>
        <w:t>Pages translated : 5</w:t>
      </w:r>
    </w:p>
    <w:p/>
    <w:p>
      <w:r>
        <w:rPr>
          <w:b/>
        </w:rPr>
        <w:t>[Pages 1–3]</w:t>
      </w:r>
    </w:p>
    <w:p>
      <w:r>
        <w:t xml:space="preserve">FRENCH REPUBLIC  </w:t>
        <w:br/>
        <w:t xml:space="preserve">Decision No. 14-DCC-58 of April 23, 2014  </w:t>
        <w:br/>
        <w:t>regarding the joint control of the extension of the Grand Cap shopping center by Amundi Immobilier and the Caisse des Dépôts et Consignations</w:t>
      </w:r>
    </w:p>
    <w:p>
      <w:r>
        <w:t xml:space="preserve">The Competition Authority,  </w:t>
        <w:br/>
        <w:t xml:space="preserve">Having regard to the notification file submitted in full to the concentrations service on March 19, 2014, regarding the joint control of the extension of the Grand Cap shopping center by Amundi Immobilier and the Caisse des Dépôts et Consignations, formalized by a synallagmatic promise of sale and purchase and by a shareholders' agreement dated April 9, 2014;  </w:t>
        <w:br/>
        <w:t xml:space="preserve">Having regard to Book IV of the Commercial Code relating to price freedom and competition, and in particular its Articles L. 430-1 to L. 430-7;  </w:t>
        <w:br/>
        <w:t>Adopts the following decision:</w:t>
      </w:r>
    </w:p>
    <w:p>
      <w:r>
        <w:t xml:space="preserve">I. The concerned companies and the operation  </w:t>
        <w:br/>
        <w:t xml:space="preserve">1. Amundi Immobilier (hereinafter "AI") is the asset management company of the Amundi group. AI is 100% owned by the Amundi group, which is itself owned to [...]% by the Crédit Agricole group (hereinafter "GCA") and to [...]% by Société Générale. AI specializes in the development, structuring, and management of real estate funds, particularly in the office real estate sector. AI and its subsidiaries are exclusively controlled by GCA, which is primarily active in the banking and insurance sectors.  </w:t>
        <w:br/>
        <w:t xml:space="preserve">2. The Caisse des Dépôts et Consignations (hereinafter "CDC") is a public institution with a special legal status, governed by Articles L. 518-2 and following of the Monetary and Financial Code, which fulfills missions of general interest in support of public policies conducted by the State and local authorities, and which carries out activities open to competition. These are grouped around four poles: (i) the environment (ii) real estate through the subsidiaries Société Nationale Immobilière and Icade (iii) investment and venture capital (iv) services.  </w:t>
        <w:br/>
        <w:t xml:space="preserve">3. The target of the operation (hereinafter "the target") is the extension of the Grand Cap shopping center located in Le Havre. This extension consists of a building intended as a shopping center with a surface area of 13,097 m² GLA and comprising 55 new units and 430 underground parking spaces. It is composed of recently completed buildings and buildings under construction, of which [...]% of the surfaces have been pre-leased to several national brands. The notifying parties plan on this basis to receive a total rental amount of 3.45 million euros within a period of less than 3 years (some units being already operational).  </w:t>
        <w:br/>
        <w:t xml:space="preserve">4. The notified operation, formalized by a synallagmatic promise of sale dated April 9, 2014, consists of the acquisition, no later than December 23, 2014, of the target by the civil real estate company AGC from the company Immochan France. The SCI AGC was created for the needs of the operation and is owned 35% by CDC and 55% by AI. CDC and GCA will exercise joint control over the target insofar as strategic decisions relating to its activity will be adopted by a three-quarters majority of the share capital and voting rights at the extraordinary general meeting.  </w:t>
        <w:br/>
        <w:t xml:space="preserve">5. Insofar as it results in the joint control of the target by GCA and CDC, the notified operation constitutes a concentration within the meaning of Article L. 430-1 of the Commercial Code.  </w:t>
        <w:br/>
        <w:t>6. The concerned companies together achieved a consolidated turnover excluding taxes worldwide of more than 150 million euros in 2012 (GCA: [...] euros for the fiscal year ending December 31, 2012; CDC: [...] euros for the same fiscal year). Each of these companies achieved, in France, a turnover exceeding 50 million euros (GCA: [...] euros; CDC: [...] euros). Given these turnover figures, the thresholds set out in Article 1, paragraph 2, a) and b) of Council Regulation (EC) No. 139/2004 of January 20, 2004 are met. Nevertheless, since GCA and CDC generate more than two-thirds of their turnover in France,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A. THE RELEVANT SERVICE MARKETS  </w:t>
        <w:br/>
        <w:t xml:space="preserve">7. The national and community competition authorities have considered, while leaving the question open, various segmentations in the real estate services sector (i) according to the recipients of the services, the properties being intended either for individuals, the buildings concerned being then for residential use, or for businesses, the buildings concerned being then for commercial or professional use, (ii) the method of price setting, between free residential real estate and social or intermediate housing, the latter falling within a specific regulatory framework in which the State plays an important role, both in terms of financial aid and housing allocation, (iii) the type of activity conducted in the premises (offices, commercial premises, and other activity premises such as warehouses or hotels), and (iv) the nature of the services or goods offered.  </w:t>
        <w:br/>
        <w:t xml:space="preserve">8. For this last segmentation axis, the following services have been identified: (i) real estate development which includes construction and sale activities of real estate; (ii) asset management of real estate for own account; (iii) asset management of real estate for third parties (institutional investors, mainly banks and insurance companies) which covers advice and management of real estate portfolios (arbitration and valuation of assets), structuring of real estate investment operations, and management of real estate assets and specialized investment vehicles (notably civil real estate companies); (iv) property management which covers the activities of managing properties on behalf of owners and can be segmented between rental management and co-ownership management; (v) real estate appraisal; (vi) real estate consulting; (vii) intermediation in real estate transactions for which intermediation in purchase/sale operations is distinguished from intermediation in rental operations.  </w:t>
        <w:br/>
        <w:t>9. In this case, the parties to the operation are simultaneously active in the markets for the management for own account of real estate assets intended for shopping centers.</w:t>
      </w:r>
    </w:p>
    <w:p>
      <w:r>
        <w:rPr>
          <w:b/>
        </w:rPr>
        <w:t>[Pages 4–5]</w:t>
      </w:r>
    </w:p>
    <w:p>
      <w:r>
        <w:t>10. The question of the exact delineation of real estate service markets can, however, be left open insofar as the conclusions of the competitive analysis of the present operation would remain unchanged regardless of the solutions adopted.</w:t>
      </w:r>
    </w:p>
    <w:p>
      <w:r>
        <w:t>B. GEOGRAPHIC MARKETS</w:t>
      </w:r>
    </w:p>
    <w:p>
      <w:r>
        <w:t>11. The French and Community competition authorities have considered that the markets related to the real estate sector are of a local dimension, while leaving the question open.10</w:t>
      </w:r>
    </w:p>
    <w:p>
      <w:r>
        <w:t>12. For the Île-de-France region, the Minister of the Economy noted that "the Paris region has particular properties of continuity of urban areas. Indeed, there is a vast, highly urbanized, and homogeneous area covering most of Île-de-France, served by a comprehensive transport network; residents are always able to arbitrate between different parts of the region. This substitutability leads to a convergence at the price level. Therefore, the regional level is the most appropriate for competitive analysis."11. For other regions, the competition authorities conducted their competitive analyses at the regional or sub-regional level.</w:t>
      </w:r>
    </w:p>
    <w:p>
      <w:r>
        <w:t>13. In this case, the parties to the present operation are simultaneously active in the management for their own account of real estate assets intended for shopping centers in the Seine-Maritime department (76) in Haute-Normandie.</w:t>
      </w:r>
    </w:p>
    <w:p>
      <w:r>
        <w:t>14. The question of the exact delineation of geographic markets in the real estate sector can, however, be left open insofar as the conclusions of the competitive analysis of the present operation would remain unchanged regardless of the solutions adopted.</w:t>
      </w:r>
    </w:p>
    <w:p>
      <w:r>
        <w:t>III. Competitive Analysis</w:t>
      </w:r>
    </w:p>
    <w:p>
      <w:r>
        <w:t>15. The activities of GCA and CDC overlap at the national level, in the Haute-Normandie region and in Seine-Maritime in the market for the management for their own account of premises intended for commerce, particularly in the segment of small shopping centers.</w:t>
      </w:r>
    </w:p>
    <w:p>
      <w:r>
        <w:t>16. The combined market shares of GCA and CDC do not exceed [0-5]% in any of these segmentations. With a total usable area of 13,097 m², the target represents a marginal portion of the market, even at the scale of the Seine-Maritime department alone. The joint control of the target is therefore not likely to harm competition.</w:t>
      </w:r>
    </w:p>
    <w:p>
      <w:r>
        <w:t>10 See in particular decisions No. 09-DCC-16 cited above and C2005-108 / Letter from the Minister of Economy, Finance and Industry dated November 25, 2005, to the advisors of the company Foncière des Régions regarding a concentration in the real estate sector, BOCCRF No. 6 bis of June 21, 2006, as well as the decision of the Commission M. 2825 cited above.</w:t>
      </w:r>
    </w:p>
    <w:p>
      <w:r>
        <w:t>11 See decision C2006-151 / Letter from the Minister of Economy, Finance and Industry dated January 10, 2007, to the council of the Société Nationale Immobilière group, regarding a concentration in the sector of development and management of real estate primarily intended for residential use, BOCCRF No. 3 bis of March 23, 2007.</w:t>
      </w:r>
    </w:p>
    <w:p>
      <w:r>
        <w:t>DECIDES</w:t>
      </w:r>
    </w:p>
    <w:p>
      <w:r>
        <w:t>Article unique: The operation notified under number 14-038 is authorized.</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