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https://www.autoritedelaconcurrence.fr/fr/decision-de-controle-des-concentrations/relative-la-prise-de-controle-conjoint-de-loffice-auxerrois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25-DCC-103 of April 29, 2025  </w:t>
        <w:br/>
        <w:t xml:space="preserve">regarding the joint control acquisition of the Office Auxerrois de  </w:t>
        <w:br/>
        <w:t xml:space="preserve">l'Habitat by the Communauté d'Agglomération de l'Auxerrois and the  </w:t>
        <w:br/>
        <w:t>Groupe Polylogis</w:t>
      </w:r>
    </w:p>
    <w:p>
      <w:r>
        <w:t>The Competition Authority,</w:t>
      </w:r>
    </w:p>
    <w:p>
      <w:r>
        <w:t xml:space="preserve">Having regard to the complete notification file submitted to the mergers department on April 8, 2025,  </w:t>
        <w:br/>
        <w:t xml:space="preserve">concerning the joint control acquisition of the Office Auxerrois de l'Habitat by the Communauté  </w:t>
        <w:br/>
        <w:t>d'Agglomération de l'Auxerrois and the Groupe Polylogis, formalized by a draft reference shareholder agreement and strategic partnership protocol signed on December 20,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joint control acquisition of the Office Auxerrois de l'Habitat  </w:t>
        <w:br/>
        <w:t xml:space="preserve">(“OAH”) by, on the one hand, the Groupe Polylogis and on the other hand, the Communauté d’Agglomération  </w:t>
        <w:br/>
        <w:t xml:space="preserve">de l’Auxerrois, through the creation of a new public limited company for moderate rent housing, into  </w:t>
        <w:br/>
        <w:t xml:space="preserve">which the OAH will be merged. The relevant sector is that of social housing.  </w:t>
        <w:br/>
        <w:t xml:space="preserve">The operation constitutes a concentration within the meaning of Article L. 430-1 of the Commercial Code.  </w:t>
        <w:br/>
        <w:t>Given the turnover achieved by the companies concerned, 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25-095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