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https://www.autoritedelaconcurrence.fr/fr/decision-de-controle-des-concentrations/relative-la-prise-de-controle-conjoint-de-loph-metz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22-DCC-149 of August 12, 2022  </w:t>
        <w:br/>
        <w:t xml:space="preserve">regarding the joint control of OPH Metz Métropole by  </w:t>
        <w:br/>
        <w:t xml:space="preserve">the company Adestia and the Eurométropole de Metz  </w:t>
        <w:br/>
        <w:t xml:space="preserve">The Competition Authority,  </w:t>
        <w:br/>
        <w:t xml:space="preserve">Having regard to the complete notification file submitted to the mergers department on July 27, 2022,  </w:t>
        <w:br/>
        <w:t xml:space="preserve">concerning the joint control of OPH Metz Métropole by the company Adestia and  </w:t>
        <w:br/>
        <w:t xml:space="preserve">the Eurométropole de Metz, formalized by a merger agreement dated May 12,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of OPH Metz Métropole by the  </w:t>
        <w:br/>
        <w:t xml:space="preserve">company Adestia, a subsidiary of the Caisse des Dépôts et Consignations, and the Eurométropole de Metz,  </w:t>
        <w:br/>
        <w:t xml:space="preserve">through the merger of OPH Metz Métropole into the mixed economy company (“SEM”)  </w:t>
        <w:br/>
        <w:t xml:space="preserve">Eurométropole de Metz Habitat. The parties are active in the real estate services sector,  </w:t>
        <w:br/>
        <w:t xml:space="preserve">particularly in the management and ownership of social housing within the Grand-Est region.  </w:t>
        <w:br/>
        <w:t xml:space="preserve">The operation is a concentration within the meaning of Article L. 430-1 of the Commercial Code.  </w:t>
        <w:br/>
        <w:t xml:space="preserve">Given the turnover achieved by the companies concerned, the operation does not fall under the jurisdiction of the European Union.  </w:t>
        <w:br/>
        <w:t xml:space="preserve">On the other hand, the control thresholds mentioned in I of Article L. 430-2 of the Commercial Code are exceeded.  </w:t>
        <w:br/>
        <w:t xml:space="preserve">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22-134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