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https://www.autoritedelaconcurrence.fr/fr/decision-de-controle-des-concentrations/relative-la-prise-de-controle-conjoint-de-loph-reims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21-DCC-248 of December 15, 2021  </w:t>
        <w:br/>
        <w:t xml:space="preserve">regarding the joint control of OPH Reims Habitat by the  </w:t>
        <w:br/>
        <w:t xml:space="preserve">company Adestia and the Urban Community of Greater Reims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30, 2021, concerning the joint control of OPH Reims Habitat by the company  </w:t>
        <w:br/>
        <w:t xml:space="preserve">Adestia and the Urban Community of Greater Reims, formalized by a shareholders' agreement dated August 6, 2021;  </w:t>
        <w:br/>
        <w:t xml:space="preserve">Having regard to Book IV of the Commercial Code relating to the freedom of prices and competition, and in particular its Articles L. 430-1 to L. 430-7;  </w:t>
        <w:br/>
        <w:t xml:space="preserve">Having regard to the additional elements provided by the notifying parties during the investigation;  </w:t>
        <w:br/>
        <w:t xml:space="preserve">Adopts the following decision:  </w:t>
        <w:br/>
        <w:t xml:space="preserve">1. The notified operation consists of the joint control of OPH Reims Habitat by the  </w:t>
        <w:br/>
        <w:t xml:space="preserve">company Adestia, a subsidiary of the Caisse des Dépôts et Consignations, and the Urban Community of  </w:t>
        <w:br/>
        <w:t xml:space="preserve">Greater Reims, through the creation of the mixed economy company (“SEM”) Reims Habitat, within  </w:t>
        <w:br/>
        <w:t xml:space="preserve">which OPH Reims Habitat will be merged. It constitutes a concentration operation  </w:t>
        <w:br/>
        <w:t xml:space="preserve">within the meaning of Article L. 430-1 of the Commercial Code. Given the turnover achieved  </w:t>
        <w:br/>
        <w:t xml:space="preserve">by the concerned companies, the operation does not fall under the jurisdiction of the European  </w:t>
        <w:br/>
        <w:t xml:space="preserve">Union. On the other hand, the control thresholds mentioned in 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21-261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