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https://www.autoritedelaconcurrence.fr/fr/decision-de-controle-des-concentrations/relative-la-prise-de-controle-conjoint-de-maje-sandro</w:t>
      </w:r>
    </w:p>
    <w:p>
      <w:r>
        <w:t>Pages translated : 6</w:t>
      </w:r>
    </w:p>
    <w:p/>
    <w:p>
      <w:r>
        <w:rPr>
          <w:b/>
        </w:rPr>
        <w:t>[Pages 1–3]</w:t>
      </w:r>
    </w:p>
    <w:p>
      <w:r>
        <w:t>FRENCH REPUBLIC</w:t>
        <w:br/>
        <w:t>Decision No. 10-DCC-139 of October 27, 2010</w:t>
        <w:br/>
        <w:t>regarding the joint control of Maje, Sandro, Claudie Pierlot, and HF Biousse by L Capital and Florac</w:t>
        <w:br/>
        <w:t>The Competition Authority,</w:t>
        <w:br/>
        <w:t>Having regard to the notification file submitted in full to the concentrations service on September 22, 2010, declared complete on the same date, concerning the joint control by L Capital SAS and Florac SAS of the companies Maje, Sandro, Claudie Pierlot, and HF Biousse, formalized by a transfer and contribution agreement dated September 16, 2010;</w:t>
        <w:br/>
        <w:t>Having regard to Book IV of the Commercial Code relating to price freedom and competition, and in particular its Articles L. 430-1 to L. 430-7;</w:t>
        <w:br/>
        <w:t>Adopts the following decision:</w:t>
        <w:br/>
        <w:t>I. The companies concerned</w:t>
        <w:br/>
        <w:t>1. L Capital 3, a venture capital fund, is managed by L Capital Management, a simplified joint-stock company (hereinafter "L Capital"). L Capital, a private equity company whose activity is to manage three venture capital funds, is itself 100% owned by LVMH-Moët Hennessy – Louis Vuitton SA, a public limited company controlled by the Arnault group1. This company heads a group (hereinafter "LVMH") primarily active in the luxury sector worldwide. LVMH operates in six major business areas: fashion and leather goods, wines and spirits, selective distribution, perfumes and cosmetics, watches and jewelry, press and media. The Arnault group also controls Christian Dior SA, a public limited company active in the luxury sector.</w:t>
        <w:br/>
        <w:t>2. Florac SAS, a simplified joint-stock company (hereinafter "Florac"), is an investment company 100% owned by Caille SAS, an investment company that primarily holds stakes in the real estate sector and is controlled by Mrs. X.</w:t>
        <w:br/>
        <w:t>1 As of June 30, 2010, LVMH is directly or indirectly held by the Arnault Group at 47.42% of the capital and 63.45% of the voting rights.</w:t>
      </w:r>
    </w:p>
    <w:p>
      <w:r>
        <w:t>3. The company Sandro Andy SA (hereinafter "Sandro"), the company Maje SAS (hereinafter "Maje"), the company Storenext, a simplified joint-stock company owning 100% of the capital of the company Claudie Pierlot (hereinafter "Storenext" and "Claudie Pierlot"), and the company HF Biousse, a civil company (hereinafter "HF Biousse"), (collectively, "the target companies"), are active in the ready-to-wear sector. The capital of Sandro, Maje, and Storenext is held by Mrs. Evelyne Chétrite, Mrs. Judith Milgrom, Mr. Alain Moyal, Mr. Elie Kouby, and Mr. Frédéric Biousse (through HF Biousse, of which he holds 100% of the capital), as well as by other individual shareholders. Maje, Sandro, and Claudie Pierlot respectively hold 40%, 40%, and 20% of the capital of Sandro Maje Claudie Pierlot SAS (hereinafter "SMCP SAS"), a company whose purpose is to market a range of the brands Sandro, Maje, and Claudie Pierlot in single retail outlets.</w:t>
        <w:br/>
        <w:t>II. The operation</w:t>
        <w:br/>
        <w:t>4. Under the transfer and contribution agreement concluded on September 16, 2010, between L Capital 3 and Florac, on the one hand, and fifteen individual shareholders on the other hand2, L Capital 3 and Florac will acquire 100% of the capital and voting rights of the target companies through the company Groupe SMCP, a simplified joint-stock company (hereinafter "SMCP") and LF Invest, created for the operation. L Capital 3 and Florac will exercise joint control over LF Invest, of which they each hold 50% of the capital and voting rights. SMCP is exclusively controlled by LF Invest, which holds 51% of the capital and voting rights, and will acquire:</w:t>
        <w:br/>
        <w:t>- 87.51% of the capital and voting rights of Sandro;</w:t>
        <w:br/>
        <w:t>- 90.00% of the capital and voting rights of Maje;</w:t>
        <w:br/>
        <w:t>- 82.67% of the capital and voting rights of Storenext;</w:t>
        <w:br/>
        <w:t>- 100% of the capital and voting rights of HF Biousse.</w:t>
        <w:br/>
        <w:t>5. Insofar as it results in the joint control of Sandro, Maje, Storenext, and HF Biousse by L Capital and Florac, the notified operation constitutes a concentration operation within the meaning of Article L. 430-1 of the Commercial Code.</w:t>
        <w:br/>
        <w:t>6. The companies concerned together achieve a total worldwide turnover of more than 150 million euros (the Arnault group achieved a consolidated worldwide turnover excluding tax of […] million euros for the last financial year ending December 31, 2009; the target companies achieved a consolidated worldwide turnover excluding tax of […] million euros during the same period). Each achieves, in France, a turnover exceeding 50 million euros (the Arnault group: […] million euros; the target companies: […] million euros). Given these turnover figures, the operation does not have a community dimension. However, the thresholds mentioned in I of Article L. 430-2 of the Commercial Code are exceeded. This operation is therefore subject to the provisions of Article L. 430-3 and subsequent articles of the Commercial Code relating to economic concentration.</w:t>
        <w:br/>
        <w:t>2 Mrs. Evelyne Chetrite, Mrs. Judith Milgrom, Mr. Frédéric Biousse, Mr. Elie Kouby, Mr. Alain Moyal, Mr. Didier Chetritre, the company Orion SC, a civil company, Mr. Nicolas ver Hulst, Mr. Sylvain-Nicolas Macquin, Mr. Alain Blanc-Brude, Mrs. Florence Fesneau, Mrs. Patricia Desquesnes, Mrs. Brigitte Melki, Mrs. Alice Chetrite, and Mrs. Lédicia Moyal.</w:t>
      </w:r>
    </w:p>
    <w:p>
      <w:r>
        <w:t>III. Delimitation of Relevant Markets</w:t>
        <w:br/>
        <w:t>7. LVMH, Christian Dior, and L Capital are primarily active in the luxury sector, as well as in the clothing supply sector through the company Dondup3. The target companies are active in the clothing supply sector as well as in the mid-range clothing and footwear retail distribution sectors.</w:t>
      </w:r>
    </w:p>
    <w:p>
      <w:r>
        <w:t>A. DELIMITATION OF PRODUCT AND SERVICE MARKETS</w:t>
        <w:br/>
        <w:t>1. LUXURY PRODUCT MARKETS</w:t>
        <w:br/>
        <w:t>8. The European Commission has defined luxury products (cosmetics, haute couture or designer clothing, luxury ready-to-wear for men and women, leather goods) as high-quality items, relatively high-priced, and marketed under a prestigious brand. From a demand perspective, luxury products are very little substitutable with other products from different segments of the same sector. The luxury market is a highly competitive global market, comprising a large number of operators4.</w:t>
        <w:br/>
        <w:t>9. The distribution of luxury products must be distinguished from the distribution of other products in that it is characterized by a network of retail outlets approved by manufacturers according to qualitative criteria, particularly concerning their location, geographical environment, and interior layout, allowing for appropriate product presentation as well as the presence of specialized professional advice. These criteria primarily aim to protect the image of the brands. In contrast, the sale of ordinary products does not require such an environment, and these products are available in a much more diverse network of retail outlets5. Community practice has therefore considered retaining a market for the distribution of luxury products6.</w:t>
        <w:br/>
        <w:t>10. In any case, for the purposes of this operation, the question of the exact definition of the market can be left open insofar as, regardless of the delimitation retained, the conclusions of the analysis will remain unchanged.</w:t>
        <w:br/>
        <w:t>2. MARKETS FOR THE DISTRIBUTION OF CLOTHING AND FOOTWEAR</w:t>
        <w:br/>
        <w:t>11. Regarding the markets for clothing and footwear, recent practice distinguishes an upstream market on the one hand and a downstream market on the other7. Upstream, it notes the existence of a clothing supply market and a footwear supply market. Downstream, the practice defines markets for the retail sale of clothing and the retail sale of footwear based on the distribution channel, the end consumer, and the quality.</w:t>
      </w:r>
    </w:p>
    <w:p>
      <w:r>
        <w:rPr>
          <w:b/>
        </w:rPr>
        <w:t>[Pages 4–6]</w:t>
      </w:r>
    </w:p>
    <w:p>
      <w:r>
        <w:t>of a clothing supply market and a footwear supply market. Downstream, the practice defines markets for the retail sale of clothing and the retail sale of footwear based on the distribution channel, the end consumer, and the quality.</w:t>
      </w:r>
    </w:p>
    <w:p>
      <w:r>
        <w:t>12. Regarding distribution channels, clothing and footwear can be distributed through specialized stores (belonging to chains, franchised, or independent), specialized large stores (GSS), or large food stores (GSA). The offer from GSAs has been considered substitutable with that of GSS8. It has also been considered to distinguish the distribution of clothing from specialized chains, consisting of networks of retail outlets under a common brand, operated in-house, franchised, or in purchasing groups9.</w:t>
      </w:r>
    </w:p>
    <w:p>
      <w:r>
        <w:t>13. The practice has subsequently recognized the existence of several distinct markets for clothing distribution based on the gender and age of the clientele. Indeed, manufacturing techniques, seasonality, and suppliers vary according to these criteria10. However, these segmentations have not been retained for the retail sale of footwear11.</w:t>
      </w:r>
    </w:p>
    <w:p>
      <w:r>
        <w:t>14. Finally, these markets have also been segmented based on the quality of clothing and footwear and the price of the items sold (low-end, mid-range, high-end)12. Typically, so-called "low-end" clothing or footwear is sold through the channel of GSS and GSA, while "mid-range" or "high-end" products are more classically sold through specialized store channels.</w:t>
      </w:r>
    </w:p>
    <w:p>
      <w:r>
        <w:t>15. All of these questions can, however, be left open for the examination of the present operation, with the conclusions of the competitive analysis remaining unchanged regardless of the solutions adopted.</w:t>
      </w:r>
    </w:p>
    <w:p>
      <w:r>
        <w:t>B. DELIMITATION OF GEOGRAPHIC MARKETS</w:t>
      </w:r>
    </w:p>
    <w:p>
      <w:r>
        <w:t>16. The European Commission has established that the luxury market is at least a community-sized market13.</w:t>
      </w:r>
    </w:p>
    <w:p>
      <w:r>
        <w:t>17. According to previous decision-making practice, the markets for clothing supply and footwear supply are of a global size14.</w:t>
      </w:r>
    </w:p>
    <w:p>
      <w:r>
        <w:t>18. Regarding the retail distribution of clothing and the retail distribution of footwear, competition occurs between points of sale in catchment areas. Two criteria have been used to delineate these areas15:</w:t>
        <w:br/>
        <w:t>- on the one hand, from the consumers' perspective, there are as many markets as there are cities where retailers likely to sell these items are located, each of these markets corresponding to the commercial attraction zone of the main city where these types of clothing can generally be acquired; and</w:t>
        <w:br/>
        <w:t>- on the other hand, the relevant geographic market would correspond, for GSAs and GSS, to a catchment area of a 20-minute drive.</w:t>
      </w:r>
    </w:p>
    <w:p>
      <w:r>
        <w:t>19. Furthermore, the growing weight in this sector of specialized distribution chains, consisting of networks of retail outlets under a common brand, operated in-house, franchised, or in purchasing groups and present throughout the national territory, or even in many countries, raises the question of the relevance of an analysis on at least national markets.</w:t>
      </w:r>
    </w:p>
    <w:p>
      <w:r>
        <w:t>20. In this case, however, this question can be left open, with the conclusions of the competitive analysis remaining unchanged regardless of the solution adopted.</w:t>
      </w:r>
    </w:p>
    <w:p>
      <w:r>
        <w:t>IV. Competitive Analysis</w:t>
      </w:r>
    </w:p>
    <w:p>
      <w:r>
        <w:t>21. Upstream, the parties are simultaneously active in the clothing supply market. In this market, which has been estimated in several recent decisions at €322 billion16, the parties estimate their combined market shares at less than [0-5]%.</w:t>
      </w:r>
    </w:p>
    <w:p>
      <w:r>
        <w:t>22. Downstream, the products marketed by the target companies are positioned in the mid-range clothing segment. LVMH and Christian Dior, on the other hand, operate in the luxury sector through products and a distribution network that distinguish themselves from the products of the target companies both in terms of price and quality. The same applies to L Capital, which currently holds a controlling interest only in luxury or high-end ready-to-wear activities. Therefore, the operation does not entail any overlap between the activities of the target companies and those of the acquiring groups in these markets.</w:t>
      </w:r>
    </w:p>
    <w:p>
      <w:r>
        <w:t>23. Given these elements, the operation is not likely to harm competition in the relevant markets.</w:t>
      </w:r>
    </w:p>
    <w:p>
      <w:r>
        <w:t>15 See Letter from the Minister of Economy, Finance and Industry C2007-28 of April 30, 2007, to the advisors of the company Vivarte, regarding a concentration in the clothing sector.</w:t>
      </w:r>
    </w:p>
    <w:p>
      <w:r>
        <w:t>16 Letter from the Minister of Economy, Industry, and Employment C2008-16 of April 30, 2008, to the advisors of the company Vivarte, regarding a concentration in the clothing and sports footwear sector. The Minister refers to a market assessment of the clothing supply market by the European Commission dating from 2004.</w:t>
      </w:r>
    </w:p>
    <w:p>
      <w:r>
        <w:t>DECIDES</w:t>
      </w:r>
    </w:p>
    <w:p>
      <w:r>
        <w:t>Sole Article: The operation notified under number 10-0147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