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https://www.autoritedelaconcurrence.fr/fr/decision-de-controle-des-concentrations/relative-la-prise-de-controle-conjoint-de-mediawan-par-les</w:t>
      </w:r>
    </w:p>
    <w:p>
      <w:r>
        <w:t>Pages translated : 17</w:t>
      </w:r>
    </w:p>
    <w:p/>
    <w:p>
      <w:r>
        <w:rPr>
          <w:b/>
        </w:rPr>
        <w:t>[Pages 1–3]</w:t>
      </w:r>
    </w:p>
    <w:p>
      <w:r>
        <w:t xml:space="preserve">FRENCH REPUBLIC  </w:t>
        <w:br/>
        <w:t xml:space="preserve">Decision No. 20-DCC-124 of September 21, 2020  </w:t>
        <w:br/>
        <w:t xml:space="preserve">regarding the joint control of Mediawan by  </w:t>
        <w:br/>
        <w:t xml:space="preserve">Les Nouvelles Éditions Indépendantes, NJJ Presse, and  </w:t>
        <w:br/>
        <w:t>Groupe Troisième Œil</w:t>
      </w:r>
    </w:p>
    <w:p>
      <w:r>
        <w:t xml:space="preserve">The Competition Authority,  </w:t>
        <w:br/>
        <w:t xml:space="preserve">Having regard to the notification file submitted in full to the merger service on August 17, 2020,  </w:t>
        <w:br/>
        <w:t xml:space="preserve">regarding the joint control of Mediawan by Les Nouvelles Éditions Indépendantes,  </w:t>
        <w:br/>
        <w:t xml:space="preserve">NJJ Presse, and Groupe Troisième Œil, formalized by a public offer dated  </w:t>
        <w:br/>
        <w:t xml:space="preserve">June 22, 2020;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A. THE PARTIES  </w:t>
        <w:br/>
        <w:t xml:space="preserve">1. Mediawan is a public limited company listed on the Paris stock exchange. It is primarily active  </w:t>
        <w:br/>
        <w:t xml:space="preserve">in the sector of audiovisual content production and channel publishing. It publishes  </w:t>
        <w:br/>
        <w:t xml:space="preserve">seventeen pay channels (RTL9, AB1, Action, Actionmax, Mangas, AB3, Automoto, Trek,  </w:t>
        <w:br/>
        <w:t xml:space="preserve">Golf Channel, Science &amp; Vie TV, Toute L’Histoire, Science &amp; Vie Junior, Animaux,  </w:t>
        <w:br/>
        <w:t xml:space="preserve">Chasse &amp; Pêche, Crime District, Ultra Nature, and AB Xplore). The company is currently  </w:t>
        <w:br/>
        <w:t xml:space="preserve">held by Sycomore (16.5%), Amundi (9.7%), MACSF (7.8%), GTO (6.6%), NJJ Presse  </w:t>
        <w:br/>
        <w:t xml:space="preserve">(6.6%), and LNEI (6.6%), with the remaining voting rights held by a floating shareholder base.  </w:t>
        <w:br/>
        <w:t xml:space="preserve">2. NJJ Presse is a simplified joint-stock company owned by NJJ, a holding company whose  </w:t>
        <w:br/>
        <w:t xml:space="preserve">capital is exclusively held by Mr. Xavier Niel. NJJ Presse holds joint control, with Mr. Mathieu Pigasse, of the company Le Monde Libre (and its subsidiaries Société Éditrice du  </w:t>
        <w:br/>
        <w:t xml:space="preserve">Monde – hereinafter "SEM" – and Le Nouvel Observateur). SEM publishes various press titles (including Le Monde), operates the websites of the various published titles, and has an  </w:t>
        <w:br/>
        <w:t xml:space="preserve">advertising agency responsible for marketing advertising space for the Le Monde group. NJJ* also holds Presse Antilles Guyane and the Nice Matin group, active in regional daily press. Furthermore, Xavier Niel* exclusively controls the Iliad group, active in the provision of telecommunications services and jointly, through NJJ*, the company BlackPills active in series publishing.  </w:t>
        <w:br/>
        <w:t xml:space="preserve">3. Les Nouvelles Éditions Indépendantes (hereinafter "LNEI") is a simplified joint-stock company  </w:t>
        <w:br/>
        <w:t xml:space="preserve">exclusively controlled by Mr. Matthieu Pigasse. LNEI jointly controls, with Mr. Xavier Niel, Le Monde Libre. Additionally, LNEI controls the magazine les Inrocks and is active in radio broadcasting, through Novapress.  </w:t>
        <w:br/>
        <w:t xml:space="preserve">4. Groupe Troisième Œil (hereinafter "GTO") is a limited liability company controlled by  </w:t>
        <w:br/>
        <w:t xml:space="preserve">Mr. Pierre-Antoine Capton, active in the production of flow and stock programs.  </w:t>
        <w:br/>
        <w:t xml:space="preserve">B. THE OPERATION  </w:t>
        <w:br/>
        <w:t xml:space="preserve">5. As part of the present operation, the companies LNEI, GTO, and NJJ Presse have established a  </w:t>
        <w:br/>
        <w:t xml:space="preserve">simplified joint-stock company titled "HoldCo," which they jointly control. Furthermore, a second simplified joint-stock company, titled "TopCo" and exclusively controlled by "HoldCo," will also be created. Finally, a last company, Mediawan Alliance, will be created1. The voting rights of this company will be held by more than 51% by TopCo and less than 49% by Kohlberg Kravis Roberts &amp; Co L.P. (KKR). Given the voting rules for strategic decisions within Mediawan Alliance2, TopCo will exclusively control the latter3.  </w:t>
        <w:br/>
        <w:t xml:space="preserve">6. By a public offer dated June 21, 2020, launched on July 29, 2020, NJJ Presse, LNEI, and  </w:t>
        <w:br/>
        <w:t xml:space="preserve">GTO proposed to acquire through Mediawan Alliance at least 55% of the shares and voting rights of Mediawan. In the event of a successful public offer, Mediawan Alliance will hold the majority of the voting rights of Mediawan. Given the chain of control between HoldCo, TopCo, and Mediawan Alliance, NJJ Presse, LNEI, and GTO will thus have the majority of the voting rights of Mediawan at the end of the operation.  </w:t>
        <w:br/>
        <w:t xml:space="preserve">7. As it results in the joint control ultimately by NJJ Presse, LNEI, and GTO of Mediawan, the operation constitutes a concentration within the meaning of Article L. 430-1 of the Commercial Code.  </w:t>
        <w:br/>
        <w:t xml:space="preserve">8. The concerned companies together achieve a total worldwide turnover of more than 150 million euros (NJJ: [≥ 150 million] euros for the fiscal year ending December 31, 2019; LNEI: [≤ 150 million] euros for the fiscal year ending December 31, 2019; GTO: [≤ 150 million] euros as of July 31, 2019; Mediawan: [≥ 150 million] euros for the fiscal year ending December 31, 2019). At least two of these companies each achieve, in France, a turnover exceeding 50 million euros (NJJ: [≥ 50 million] euros for the fiscal year ending December 31, 2019; LNEI: [≥ 50 million] euros for the fiscal year ending December 31, 2019; Mediawan: [≥ 50 million] euros for the fiscal year ending December 31, 2019). The notification thresholds of Article 1 paragraph 3 of Regulation (EC) 139/2004 are therefore exceeded, but each of the concerned companies achieves more than two  </w:t>
        <w:br/>
        <w:t xml:space="preserve">1 GTO will contribute, as part of the present operation, its audiovisual activity to Mediawan Alliance, in exchange for an additional stake in TopCo. This will not change HoldCo's exclusive control over TopCo.  </w:t>
        <w:br/>
        <w:t xml:space="preserve">2 [Confidential].  </w:t>
        <w:br/>
        <w:t xml:space="preserve">3 As previously indicated, GTO will contribute its audiovisual activities to Mediawan Alliance, the latter being ultimately jointly controlled by LNEI, GTO, and NJJ Presse. Consequently, the operation will also lead to the joint control of GTO's audiovisual activity by LNEI and NJJ alongside GTO. The competitive analysis took this element into account.  </w:t>
        <w:br/>
        <w:t>* Correction of material error.</w:t>
      </w:r>
    </w:p>
    <w:p>
      <w:r>
        <w:t>two-thirds of its turnover in the Union in France, the operation does not fall under the jurisdiction of the European Union. However, the control thresholds mentioned in point I of Article L. 430-2 of the Commercial Code are exceeded. Therefore, the present operation is subject to the provisions of Articles L. 430-3 and following of the Commercial Code relating to economic concentration.</w:t>
      </w:r>
    </w:p>
    <w:p>
      <w:r>
        <w:t xml:space="preserve">II. Definition of Relevant Markets  </w:t>
        <w:br/>
        <w:t xml:space="preserve">9. Upstream, GTO and Mediawan are both producers of audiovisual programs and, as such, market the broadcasting rights related to these programs. Mediawan also markets the rights of audiovisual programs produced by third parties (A).  </w:t>
        <w:br/>
        <w:t xml:space="preserve">10. At the intermediate level, Mediawan is active in the markets of publishing and marketing  </w:t>
        <w:br/>
        <w:t xml:space="preserve">of channels (B).  </w:t>
        <w:br/>
        <w:t xml:space="preserve">11. Downstream, the NJJ group, through Iliad, is active in the markets for the distribution of television services (C).  </w:t>
        <w:br/>
        <w:t>12. Mediawan, LNEI, and NJJ are also active in the advertising markets as sellers and buyers of advertising space (D) as well as in the markets for advertising agency activities (E).</w:t>
      </w:r>
    </w:p>
    <w:p>
      <w:r>
        <w:t xml:space="preserve">A. MARKETS RELATING TO BROADCASTING RIGHTS OF AUDIOVISUAL PROGRAMS  </w:t>
        <w:br/>
        <w:t xml:space="preserve">1. THE PRODUCT MARKETS  </w:t>
        <w:br/>
        <w:t xml:space="preserve">13. Audiovisual content intended for television broadcasting covers various products, such as films, telefilms, documentaries, game shows, entertainment or talk shows, sports events, etc.  </w:t>
        <w:br/>
        <w:t xml:space="preserve">14. Regarding the markets for broadcasting rights of audiovisual programs, the decision-making practice of the Authority operates a first segmentation according to the type of audiovisual content (rights relating to cinematographic works, sports rights, and rights relating to other audiovisual programs)4.  </w:t>
        <w:br/>
        <w:t xml:space="preserve">15. In this case, the operation results in an overlap of activity only in the markets relating to other audiovisual programs5.  </w:t>
        <w:br/>
        <w:t xml:space="preserve">4 See the letters from the Minister in charge of the economy C2005/23 of May 25, 2005, to the boards of France Télévisions and TF1, regarding a concentration in the audiovisual sector and C2006-02 of August 30, 2006, to the board of Vivendi Universal, regarding a concentration in the pay television sector and the decisions of the Competition Authority No. 10-DCC-11 of January 26, 2010, regarding the exclusive control by the TF1 group of the company NT1 and Monte-Carlo Participations (AB group), No. 14-DCC-50 of April 2, 2014, regarding the exclusive control of the companies Direct 8, Direct Star, Direct Productions, Direct Digital, and Bolloré Intermédia by Vivendi SA and Groupe Canal Plus, No. 16-DCC-10 of January 21, 2016, regarding the joint control by TF1 and FIFL of FLCP, No. 17-DCC-29 of March 3, 2017, regarding the exclusive control by Endemol Shine OpCo Holding B.V. of Shine France, No. 18-DCC-106 of June 29, 2018, regarding the exclusive control of Newen Studios by TF1, No. 19-DCC-94 of May 24, 2019, regarding the exclusive control of Groupe Elephant by Webedia, and No. 19-DCC-157 of August 12, 2019, regarding the creation of a joint venture by France Télévisions, TF1, and Métropole Télévision.  </w:t>
        <w:br/>
        <w:t>5 Mediawan acquires sports rights for sports competitions, other than football and outside major events, such as the 2020 LPGA Tour88 or the Championnat de France Elite 24MX Tour89, while NJJ (Iliad) recently acquired broadcasting rights for Ligue 1. The decision-making practice distinguishes specific markets for broadcasting rights of football competitions. Therefore, there is no overlap in this market.</w:t>
      </w:r>
    </w:p>
    <w:p>
      <w:r>
        <w:rPr>
          <w:b/>
        </w:rPr>
        <w:t>[Pages 4–6]</w:t>
      </w:r>
    </w:p>
    <w:p>
      <w:r>
        <w:t>16. For other audiovisual programs, the Authority considers that so-called "stock" programs and those referred to as "flow" programs constitute two distinct markets (a). It also segments according to whether the programs are original or catalog (b), and according to the mode of content distribution (linear or non-linear) (c).</w:t>
      </w:r>
    </w:p>
    <w:p>
      <w:r>
        <w:t>a) Segmentation between stock programs and flow programs</w:t>
      </w:r>
    </w:p>
    <w:p>
      <w:r>
        <w:t>Stock programs</w:t>
      </w:r>
    </w:p>
    <w:p>
      <w:r>
        <w:t>17. The market for stock programs includes a set of rights pertaining to products such as fictions (series excluding American series, telefilms, mini-series), documentaries, or animations, excluding however feature films and recent American series, which have been considered as part of distinct product markets.</w:t>
      </w:r>
    </w:p>
    <w:p>
      <w:r>
        <w:t>18. Furthermore, European audiovisual works and works in original French expression are subject to specific regulations providing for obligations to contribute to production and broadcasting quotas6. In this regard, the Authority has considered the existence of a distinct market for fictions in original French expression7.</w:t>
      </w:r>
    </w:p>
    <w:p>
      <w:r>
        <w:t>19. Moreover, in its decision-making practice8, the Authority has defined a market for recent American series, in light of the evolution of the attractiveness of these contents, which possess "the character of autonomous attractive content." It noted that there are very significant differences between such series and cinematic works, in terms of price, commercial negotiation conditions, or applicable regulations. Finally, it emphasized that, given the absence of normative regulation of broadcasting windows, competition for the purchase of recent series was simultaneously driven by pay television operators and free-to-air TNT television operators, as well as by subscription video-on-demand operators, including for the purchase of the first broadcast. The Authority specified, while leaving the question open, that "recent" series in the sense of the relevant market had been broadcast for the first time less than two years prior in the United States.</w:t>
      </w:r>
    </w:p>
    <w:p>
      <w:r>
        <w:t>20. In this case, the question of the exact delimitation of the stock program markets can, however, be left open, as the conclusions of the competitive analysis remain unchanged, regardless of the segmentation adopted.</w:t>
      </w:r>
    </w:p>
    <w:p>
      <w:r>
        <w:t>Flow programs</w:t>
      </w:r>
    </w:p>
    <w:p>
      <w:r>
        <w:t>21. The market for flow programs includes news programs, magazines, games, variety shows, or studio shows.</w:t>
      </w:r>
    </w:p>
    <w:p>
      <w:r>
        <w:t>22. Within flow programs, the Authority has considered the existence of a market for the acquisition of rights pertaining to news images9.</w:t>
      </w:r>
    </w:p>
    <w:p>
      <w:r>
        <w:t>23. In this case, the question of the exact delimitation of the flow program markets can, however, be left open, as the conclusions of the competitive analysis remain unchanged, regardless of the segmentation adopted.</w:t>
      </w:r>
    </w:p>
    <w:p>
      <w:r>
        <w:t>b) Segmentation between original programs and catalog programs</w:t>
      </w:r>
    </w:p>
    <w:p>
      <w:r>
        <w:t>24. The Authority has considered a segmentation of the market for broadcasting rights of audiovisual programs between original programs and catalog programs, without, however, definitively resolving the question10.</w:t>
      </w:r>
    </w:p>
    <w:p>
      <w:r>
        <w:t>25. In this case, it is not necessary to resolve the delimitation of this market.</w:t>
      </w:r>
    </w:p>
    <w:p>
      <w:r>
        <w:t>c) Segmentation according to the mode of distribution</w:t>
      </w:r>
    </w:p>
    <w:p>
      <w:r>
        <w:t>26. The Authority has also considered segmenting the broadcasting rights of audiovisual programs between rights intended for linear television services and those intended for non-linear television services (such as video on demand and subscription video on demand)11.</w:t>
      </w:r>
    </w:p>
    <w:p>
      <w:r>
        <w:t>27. In this case, it is not necessary to resolve the delimitation of this market.</w:t>
      </w:r>
    </w:p>
    <w:p>
      <w:r>
        <w:t>2. GEOGRAPHIC MARKET</w:t>
      </w:r>
    </w:p>
    <w:p>
      <w:r>
        <w:t>28. The Authority considers, in accordance with decision-making practice, that the markets for broadcasting rights of audiovisual programs are of national dimension insofar as the rights are acquired solely for the national territory or, at most, for the same linguistic area12.</w:t>
      </w:r>
    </w:p>
    <w:p>
      <w:r>
        <w:t>29. In this case, the parties are simultaneously active in the markets for broadcasting rights of audiovisual programs. GTO markets broadcasting rights for both flow and stock programs. Mediawan markets and acquires stock and flow programs as well as broadcasting rights for cinematic programs. LNEI and NJJ have a very marginal activity in marketing broadcasting rights for audiovisual content.</w:t>
      </w:r>
    </w:p>
    <w:p>
      <w:r>
        <w:t>B. MARKETS RELATING TO THE PUBLISHING AND MARKETING OF TELEVISION CHANNELS</w:t>
      </w:r>
    </w:p>
    <w:p>
      <w:r>
        <w:t>30. Downstream from the markets for acquiring broadcasting rights, operators publish the channels they create from programs produced in-house or acquired from the upstream market for broadcasting rights. These channels are now accompanied by associated services and functionalities, notably catch-up television, the scope of which varies according to the channels and the content concerned. These associated services and functionalities are marketed by publishers concurrently with their linear streams. The intermediate markets for the publishing and marketing of television channels therefore include, within their scope, the channels and their associated services and functionalities.</w:t>
      </w:r>
    </w:p>
    <w:p>
      <w:r>
        <w:t>31. Depending on the business model of the channels concerned, these operators are compensated by advertising revenues, fees paid by distributors, or subscriptions.</w:t>
      </w:r>
    </w:p>
    <w:p>
      <w:r>
        <w:t>1. SERVICE MARKETS</w:t>
      </w:r>
    </w:p>
    <w:p>
      <w:r>
        <w:t>32. Regarding the market for the publishing and marketing of television services, the Authority's decision-making practice distinguishes between pay channels and their associated services and functionalities, and free-to-air TNT channels and their associated services and functionalities.</w:t>
      </w:r>
    </w:p>
    <w:p>
      <w:r>
        <w:t>33. In terms of publishing and marketing pay television channels, decision-making practice considers that it is not relevant to distinguish different markets based on distribution platforms. However, decision-making practice retains a segmentation of the intermediate markets based on the themes of the channels, considering that cinema, sports, youth, and news channels constitute relevant markets. Within the market for thematic channels, practice has considered a specific segment of single-content premium channels, while leaving the question open13.</w:t>
      </w:r>
    </w:p>
    <w:p>
      <w:r>
        <w:t>34. Decision-making practice also retains a distinct market for the publishing and marketing of mixed premium channels offering both cinematic content (including first-window films) and sports content (including rights pertaining to Ligue 1 football, the Champions League, or attractive foreign football championships).</w:t>
      </w:r>
    </w:p>
    <w:p>
      <w:r>
        <w:t>35. There is no need to challenge the delimitation of the market for the publishing and marketing of pay television channels on the occasion of the present decision.</w:t>
      </w:r>
    </w:p>
    <w:p>
      <w:r>
        <w:t>36. Furthermore, in its previous decisions, the Authority noted that, unlike the publishing of pay channels, the publishing of free-to-air TNT channels did not constitute a market per se. However, this analysis has evolved due to the recent compensation of free-to-air TNT channel publishers by channel distributors for the provision of their enhanced linear signal along with a series of associated services. The Authority considered that there were strong indications that the activity of publishing and marketing free-to-air TNT channels could constitute an economic activity likely to fall within a relevant market14. However, decision-making practice left open the question of the exact definition of this market and notably the potential segmentation of this market between TNT channels and pay channels.</w:t>
      </w:r>
    </w:p>
    <w:p>
      <w:r>
        <w:t>37. In this case, since Mediawan exclusively publishes pay channels, the question of the definition of the market relating to free-to-air TNT channels can therefore be left open.</w:t>
      </w:r>
    </w:p>
    <w:p>
      <w:r>
        <w:t>2. GEOGRAPHIC MARKETS</w:t>
      </w:r>
    </w:p>
    <w:p>
      <w:r>
        <w:t>38. According to the decision-making practice of competition authorities, the intermediate market for the publishing and marketing of pay channels must be approached differently for the metropolitan territory and the overseas departments and regions (DROM)15. The absence of a transnational character of the market is explained by linguistic factors and</w:t>
      </w:r>
    </w:p>
    <w:p>
      <w:r>
        <w:rPr>
          <w:b/>
        </w:rPr>
        <w:t>[Pages 7–9]</w:t>
      </w:r>
    </w:p>
    <w:p>
      <w:r>
        <w:t>cultural, as well as by the national framework in which the negotiation between channel publishers and distributors takes place. As for the differentiation between the metropolitan territory and the DROM, it is explained in particular by the specific competitive conditions that can be observed in the DROM, from the distributors' point of view. There is no need to challenge this definition of the geographic market on the occasion of the present decision.</w:t>
      </w:r>
    </w:p>
    <w:p>
      <w:r>
        <w:t>39. For the potential market relating to the publishing and marketing of free-to-air TNT channels, the question has been left open. Given the case at hand, it is not necessary to decide the question, as only the markets for pay channels are affected by the operation.</w:t>
      </w:r>
    </w:p>
    <w:p>
      <w:r>
        <w:t>40. In this case, only Mediawan is active in this market through the publishing of seventeen pay channels.</w:t>
      </w:r>
    </w:p>
    <w:p>
      <w:r>
        <w:t>C. DOWNSTREAM MARKETS FOR TELEVISION SERVICE DISTRIBUTION</w:t>
      </w:r>
    </w:p>
    <w:p>
      <w:r>
        <w:t>1. SERVICE MARKETS</w:t>
      </w:r>
    </w:p>
    <w:p>
      <w:r>
        <w:t>41. Downstream, there is a difference between free television and pay television, given their different funding models.</w:t>
      </w:r>
    </w:p>
    <w:p>
      <w:r>
        <w:t>42. Indeed, pay television establishes a commercial relationship between the television distributor and the viewer, whereas free television establishes such a relationship only between the television service publisher and the advertising advertisers. Therefore, these two offerings are not substitutable in the eyes of consumers. According to decision-making practice, there is therefore no downstream market for the distribution of free television services.</w:t>
      </w:r>
    </w:p>
    <w:p>
      <w:r>
        <w:t>43. Decision-making practice considers that it is not relevant to segment the market for the distribution of pay television based on the distribution platform of the channels (satellite, cable, ADSL, fiber).</w:t>
      </w:r>
    </w:p>
    <w:p>
      <w:r>
        <w:t>44. Furthermore, in its previous decisions, the Authority has considered that only the second-level offers of internet access providers, that is to say, the paid offers of channels or bouquets of channels by these providers, were likely to exert competitive pressure on the direct distribution of pay channel offerings (such as those of the Canal Plus Group). However, the precise definition of the relevant market for the distribution of pay television has been left open.</w:t>
      </w:r>
    </w:p>
    <w:p>
      <w:r>
        <w:t>45. Finally, the Authority has identified a market for the distribution of pay television services aimed at professionals, distinct from pay television services aimed at individuals, as well as a distinct market for the distribution of pay television services on mobile devices.</w:t>
      </w:r>
    </w:p>
    <w:p>
      <w:r>
        <w:t>46. Decision-making practice also distinguishes between the distribution of non-linear services and the distribution of linear pay television services. Within non-linear services, the Authority has further considered that it was relevant to distinguish the distribution of video-on-demand services from the distribution of subscription video-on-demand services.</w:t>
      </w:r>
    </w:p>
    <w:p>
      <w:r>
        <w:t>47. There is no need to challenge these delimitations on the occasion of the present decision.</w:t>
      </w:r>
    </w:p>
    <w:p>
      <w:r>
        <w:t>48. However, it appears that there is an increasing convergence between linear and non-linear television distribution. Nevertheless, decision-making practice has not resolved this question16. Since the conclusions of the competitive analysis remain unchanged regardless of the delimitation retained, the question of maintaining a segmentation between linear and non-linear television distribution can be left open.</w:t>
      </w:r>
    </w:p>
    <w:p>
      <w:r>
        <w:t>2. GEOGRAPHIC MARKET</w:t>
      </w:r>
    </w:p>
    <w:p>
      <w:r>
        <w:t>49. Regarding the geographic delimitation, decision-making practice considers that the markets for the distribution of pay television services must be understood distinctly concerning, on the one hand, the metropolitan area and, on the other hand, the DROM. There is no need to challenge this delimitation on the occasion of the present decision.</w:t>
      </w:r>
    </w:p>
    <w:p>
      <w:r>
        <w:t>50. In this case, only NJJ is present in this market, through Iliad, which distributes television services through the television offer included in the internet access offers provided under the Free brand.</w:t>
      </w:r>
    </w:p>
    <w:p>
      <w:r>
        <w:t>D. RETAIL MARKET FOR INTERNET ACCESS</w:t>
      </w:r>
    </w:p>
    <w:p>
      <w:r>
        <w:t>51. Decision-making practice distinguishes the market for low-speed internet access (via the switched telephone network) and the market for high-speed and very high-speed internet access (via cable, ADSL, and fiber technologies)17.</w:t>
      </w:r>
    </w:p>
    <w:p>
      <w:r>
        <w:t>52. Furthermore, the markets for internet access provision can be segmented according to the type of customer, distinguishing between the residential customer base and the business customer base. Within the residential customer base, decision-making practice has considered distinguishing a specific market for professional customers, consisting of small and medium-sized enterprises whose professional needs are similar to those of individual customers.</w:t>
      </w:r>
    </w:p>
    <w:p>
      <w:r>
        <w:t>53. The Authority has also considered a distinction based on the type of services offered, with the market for high and very high-speed internet access including, in addition to internet access, all high and very high-speed services, namely voice over IP services and television18. These services are generally offered as part of a multi-service offer known as "triple-play" (or "3P").</w:t>
      </w:r>
    </w:p>
    <w:p>
      <w:r>
        <w:t>54. The Authority retains a national dimension for the retail market for internet access provision.</w:t>
      </w:r>
    </w:p>
    <w:p>
      <w:r>
        <w:t>55. There is no need to challenge these delimitations on the occasion of the present decision.</w:t>
      </w:r>
    </w:p>
    <w:p>
      <w:r>
        <w:t>56. In this case, only NJJ, through Iliad, is present in the retail market for internet access provision.</w:t>
      </w:r>
    </w:p>
    <w:p>
      <w:r>
        <w:t>E. ADVERTISING MARKETS</w:t>
      </w:r>
    </w:p>
    <w:p>
      <w:r>
        <w:t>57. Decision-making practice considers that there are as many markets for the sale of advertising space as there are media supports. Indeed, depending on the type of media chosen (television, press, radio, internet, etc.), the target audience can vary significantly. The costs and techniques for producing and disseminating messages also differ greatly.</w:t>
      </w:r>
    </w:p>
    <w:p>
      <w:r>
        <w:t>1. MARKET FOR TELEVISION ADVERTISING SPACE SALES</w:t>
      </w:r>
    </w:p>
    <w:p>
      <w:r>
        <w:t>a) Service Markets</w:t>
      </w:r>
    </w:p>
    <w:p>
      <w:r>
        <w:t>58. Decision-making practice particularly considers that the television advertising market is distinct from other advertising markets19.</w:t>
      </w:r>
    </w:p>
    <w:p>
      <w:r>
        <w:t>59. Despite the observation of an increasing convergence between online advertising and television advertising due to the development of display video advertising on the Internet, the European and French competition authorities (hereinafter "the competition authorities") believe that a number of elements show that television advertising and online advertising still constitute two distinct markets. In its Google/DoubleClick decision20, the European Commission notably considered that online advertising and offline advertising constituted two distinct markets. In support of this distinction, it notably pointed out the specificity in terms of targeting of online advertising and the difference in pricing between the two markets. The Competition Authority also retains this distinction21. In this case, there is no need to challenge it.</w:t>
      </w:r>
    </w:p>
    <w:p>
      <w:r>
        <w:t>60. Furthermore, it has been considered that the television advertising market did not need to be segmented based on whether the channel is free or paid, or based on targets, broadcast times, and screen power. Finally, without definitively resolving the question, the Authority has considered a potential sponsorship market22. In this case, there is no need to challenge these distinctions.</w:t>
      </w:r>
    </w:p>
    <w:p>
      <w:r>
        <w:t>61. The Authority has also questioned the issue of whether the advertising broadcast on catch-up television services should be linked to the online advertising market or the television advertising market. This question can be left open, as the conclusions of the competitive analysis remain unchanged, regardless of the solution retained.</w:t>
      </w:r>
    </w:p>
    <w:p>
      <w:r>
        <w:t>b) Geographic Markets</w:t>
      </w:r>
    </w:p>
    <w:p>
      <w:r>
        <w:t>62. According to the competition authorities, the geographic dimension of the television advertising market is national, due to linguistic and cultural barriers, except in the case of local television advertising, for which the relevant market would correspond to the broadcasting area of the television23.</w:t>
      </w:r>
    </w:p>
    <w:p>
      <w:r>
        <w:t>63. The question of the exact delimitation of the television advertising space sales market can be left open, as the conclusions of the competitive analysis remain unchanged regardless of the delimitation retained.</w:t>
      </w:r>
    </w:p>
    <w:p>
      <w:r>
        <w:rPr>
          <w:b/>
        </w:rPr>
        <w:t>[Pages 10–12]</w:t>
      </w:r>
    </w:p>
    <w:p>
      <w:r>
        <w:t>64. In this case, only Mediawan is present in this market.</w:t>
      </w:r>
    </w:p>
    <w:p>
      <w:r>
        <w:t>2. MARKET FOR ONLINE ADVERTISING SPACE</w:t>
      </w:r>
    </w:p>
    <w:p>
      <w:r>
        <w:t>a) Service Markets</w:t>
      </w:r>
    </w:p>
    <w:p>
      <w:r>
        <w:t>65. Competition authorities have segmented the online advertising market taking into account the method of ad selection (search-related ads or not)24 and their visual appearance (text ads, videos, other formats). The European Commission has also considered a segmentation of the online advertising market based on the terminals used (fixed and mobile terminals)25.</w:t>
      </w:r>
    </w:p>
    <w:p>
      <w:r>
        <w:t>66. In any event, the exact delimitation of the online advertising market can be left open, as the conclusions of the competitive analysis remain unchanged, regardless of the segmentation adopted.</w:t>
      </w:r>
    </w:p>
    <w:p>
      <w:r>
        <w:t>67. Competition authorities consider that the geographical dimension of the online advertising market is national, for reasons primarily related to cultural and linguistic barriers26.</w:t>
      </w:r>
    </w:p>
    <w:p>
      <w:r>
        <w:t>68. There is no need to challenge these delimitations on the occasion of the present decision.</w:t>
      </w:r>
    </w:p>
    <w:p>
      <w:r>
        <w:t>69. In this case, LNEI and GTO are active in these markets.</w:t>
      </w:r>
    </w:p>
    <w:p>
      <w:r>
        <w:t>3. MARKETS FOR RADIO ADVERTISING SPACE</w:t>
      </w:r>
    </w:p>
    <w:p>
      <w:r>
        <w:t>70. Decision-making practice has considered that radio advertising spaces constitute a separate market27. It has not considered segmentation within this market.</w:t>
      </w:r>
    </w:p>
    <w:p>
      <w:r>
        <w:t>71. Decision-making practice considers that the geographical market corresponds to the broadcast area of each concerned radio station, which can be national or local28.</w:t>
      </w:r>
    </w:p>
    <w:p>
      <w:r>
        <w:t>72. There is no need to challenge these delimitations on the occasion of the present decision.</w:t>
      </w:r>
    </w:p>
    <w:p>
      <w:r>
        <w:t>73. In this case, only LNEI is active in this market.</w:t>
      </w:r>
    </w:p>
    <w:p>
      <w:r>
        <w:t>4. MARKETS FOR ADVERTISING SPACE IN PRINT MEDIA</w:t>
      </w:r>
    </w:p>
    <w:p>
      <w:r>
        <w:t>a) Service Markets</w:t>
      </w:r>
    </w:p>
    <w:p>
      <w:r>
        <w:t>74. Competition authorities consider that print media constitutes a distinct market from other media (television, radio, etc.), particularly insofar as the latter do not offer an analysis of information as broad and in-depth as print media.</w:t>
      </w:r>
    </w:p>
    <w:p>
      <w:r>
        <w:t>75. In the print media sector, decision-making practice distinguishes between national daily press, regional daily press, magazine press, free press, and specialized press29.</w:t>
      </w:r>
    </w:p>
    <w:p>
      <w:r>
        <w:t>76. For each type of press thus defined, three markets are distinguished: the readership market, the advertising space sales market, and the classified ads market30.</w:t>
      </w:r>
    </w:p>
    <w:p>
      <w:r>
        <w:t>77. Regarding the advertising space sales market, decision-making practice31 considers that daily press is not substitutable for magazine press since these two types of press, given their periodicity, do not fulfill the same functions for readers.</w:t>
      </w:r>
    </w:p>
    <w:p>
      <w:r>
        <w:t>78. Competition authorities32 have also considered distinguishing the market for financial advertising from that of commercial advertising.</w:t>
      </w:r>
    </w:p>
    <w:p>
      <w:r>
        <w:t>79. Specifically regarding commercial advertising in national dailies, it has been considered to define a market encompassing all national dailies, on the one hand, and a market limited to economic and financial dailies, on the other hand33.</w:t>
      </w:r>
    </w:p>
    <w:p>
      <w:r>
        <w:t>80. Concerning regional daily press, decision-making practice has considered a segmentation between "local" advertising and "extra-local" advertising34.</w:t>
      </w:r>
    </w:p>
    <w:p>
      <w:r>
        <w:t>81. Regarding magazine press, competition authorities35 have considered different approaches to delineate the relevant markets:</w:t>
        <w:br/>
        <w:t>- the first is to consider that the advertising space sales market can be determined in a manner similar to the readership market, particularly as magazines dealing with the same theme target readers with similar socio-professional characteristics and allow advertisers to reach the same advertising targets;</w:t>
        <w:br/>
        <w:t>- the second is to group all magazines that have at least 25% of advertisers in common with a reference magazine. Such magazines would be considered substitutable from the advertisers' perspective;</w:t>
        <w:br/>
        <w:t>- the third method consists of segmenting the market based on the sector of activity of the advertisers.</w:t>
      </w:r>
    </w:p>
    <w:p>
      <w:r>
        <w:t>82. Regarding free press, decision-making practice has considered that there exists a market for advertising in free classified ads36. A finer segmentation has also been considered between real estate ads and job offers37.</w:t>
      </w:r>
    </w:p>
    <w:p>
      <w:r>
        <w:t>83. The question of the exact delimitation of the market for advertising space sales in print media can be left open, as, regardless of the delimitation adopted, the conclusions of the competitive analysis remain unchanged.</w:t>
      </w:r>
    </w:p>
    <w:p>
      <w:r>
        <w:t>84. In this case, only NJJ Presse and LNEI are present in the advertising space sales markets. They are active together in this market through the Le Monde group. LNEI is also active in this market through the magazine Les Inrocks. Furthermore, NJJ Presse is present in these markets through the regional daily press titles it holds in the Southeast and in the Caribbean.</w:t>
      </w:r>
    </w:p>
    <w:p>
      <w:r>
        <w:t>b) Geographical Markets</w:t>
      </w:r>
    </w:p>
    <w:p>
      <w:r>
        <w:t>85. According to decision-making practice, the geographical delimitation of the advertising space sales markets in print media corresponds to the distribution area of the title38. There is no need to challenge this delimitation on the occasion of the present decision.</w:t>
      </w:r>
    </w:p>
    <w:p>
      <w:r>
        <w:t>F. ADVERTISING MANAGEMENT MARKETS</w:t>
      </w:r>
    </w:p>
    <w:p>
      <w:r>
        <w:t>86. The sale of advertising space is carried out either directly or through an advertising management company. Competition authorities have recognized the existence of an advertising management market39.</w:t>
      </w:r>
    </w:p>
    <w:p>
      <w:r>
        <w:t>87. The offer involves a management company to which media supports entrust the management of their advertising spaces, through a mandate contract in which the support is the principal and the manager is the agent. The role of these management companies is to market the spaces available to advertisers and agencies.</w:t>
      </w:r>
    </w:p>
    <w:p>
      <w:r>
        <w:t>88. Similar to the segmentation established for the advertising space sales markets, there are as many advertising management markets as there are media supports.</w:t>
      </w:r>
    </w:p>
    <w:p>
      <w:r>
        <w:t>89. According to the practice of competition authorities, the geographical dimension of the media and advertising markets of these media corresponds to their broadcast area. The same applies to advertising management markets40.</w:t>
      </w:r>
    </w:p>
    <w:p>
      <w:r>
        <w:t>90. There is no need to challenge these delimitations on the occasion of the present decision.</w:t>
      </w:r>
    </w:p>
    <w:p>
      <w:r>
        <w:t>91. In this case, Mediawan operates an advertising management company for its own account (Regis Pub), while NJJ Presse and LNEI are active in the advertising management markets, notably through the advertising management of the Le Monde group.</w:t>
      </w:r>
    </w:p>
    <w:p>
      <w:r>
        <w:rPr>
          <w:b/>
        </w:rPr>
        <w:t>[Pages 13–15]</w:t>
      </w:r>
    </w:p>
    <w:p>
      <w:r>
        <w:t xml:space="preserve">III. Competitive Analysis  </w:t>
        <w:br/>
        <w:t xml:space="preserve">A. ANALYSIS OF HORIZONTAL EFFECTS  </w:t>
        <w:br/>
        <w:t xml:space="preserve">92. The parties are simultaneously present in the market for broadcasting rights of audiovisual content, as they market the rights related to the content they produce. Mediawan also markets broadcasting rights related to programs produced by third parties.  </w:t>
        <w:br/>
        <w:t xml:space="preserve">93. In these markets, the market share of the new entity is consistently below 25%, regardless of the segmentation chosen.  </w:t>
        <w:br/>
        <w:t xml:space="preserve">94. Consequently, the operation is not likely to harm competition through horizontal effects.  </w:t>
        <w:br/>
        <w:t xml:space="preserve">B. ANALYSIS OF VERTICAL EFFECTS  </w:t>
        <w:br/>
        <w:t xml:space="preserve">95.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96. However, decision-making practice generally holds that "it is unlikely that a company with a market share of less than 30% in a relevant market can lock in a downstream or upstream market"41.  </w:t>
        <w:br/>
        <w:t xml:space="preserve">97. The operation results in the creation of several vertical links. However, any risk of harming competition through vertical effects can be ruled out.  </w:t>
        <w:br/>
        <w:t xml:space="preserve">98. First, the operation creates a vertical link between the marketing activities of broadcasting rights for audiovisual programs of the notifying parties and Mediawan's channel publishing activity, which leads it to acquire broadcasting rights. However, as previously indicated, the market shares of the new entity in the markets for broadcasting rights of audiovisual programs (marketing) are below 25%, regardless of the segmentation chosen. Furthermore, Mediawan's purchasing shares in these various markets are also below 25%. Thus, the parties will not have sufficient market shares in these markets to implement a leverage effect.  </w:t>
        <w:br/>
        <w:t xml:space="preserve">99. The operation also generates a vertical overlap between Mediawan's pay channel publishing activity and NJJ's television service distribution activity through Iliad's offerings. NJJ could notably choose to discriminate against Mediawan's competing channels by assigning them less favorable numbers or by refusing to distribute certain channels42. However, in the various markets for pay channel publishing, Mediawan's market share is below 25%, regardless of the segmentation chosen. Moreover, NJJ's market share is below 25% in the television service distribution markets, regardless of the segmentation chosen. Given the market shares of the parties, any risk of lock-in can be ruled out.  </w:t>
        <w:br/>
        <w:t xml:space="preserve">100. Furthermore, a vertical link exists between the market for television advertising space sales in which Mediawan is active and the activities of the notifying parties, such as publishing press and radio titles and providing fixed and mobile telecommunications services that may lead them to acquire advertising space. However, Mediawan's market share in the television advertising space sales market in France is below 1%. Thus, if Mediawan were to refuse to sell television advertising space to competing advertisers of the notifying parties, they would have many alternatives to acquire television advertising space. Moreover, the notifying parties will not be incentivized to stop purchasing advertising space from other television channels due to the limited audience of the various channels published by Mediawan (below 1%). Consequently, any risk of lock-in in these markets can be ruled out.  </w:t>
        <w:br/>
        <w:t xml:space="preserve">101. Finally, there could be a vertical link between the markets for advertising space sales across the various media in which the notifying parties are active and Mediawan's channel publishing activity leading it to acquire advertising space.  </w:t>
        <w:br/>
        <w:t xml:space="preserve">102. Except for the market for advertising space sales in regional daily print media, the new entity has market shares below 30% across all advertising space sales markets. In the market for advertising space sales in regional daily print media, NJJ Presse has a market share exceeding 30% in Var and Alpes Maritimes43. However, any risk of harming competition through vertical effects in these markets can be excluded.  </w:t>
        <w:br/>
        <w:t xml:space="preserve">103. Mediawan could, in fact, cease to purchase advertising space in regional print media from competitors of NJJ Presse in the context of communication operations related to its pay channel publishing activity44. However, during the year 2019, it did not purchase advertising space in regional daily print media, notably due to the limited influence area of the titles compared to the broadcasting territory of the pay channels published by Mediawan. Furthermore, Mediawan does not correspond to the traditional advertisers of regional daily print media. Indeed, the Authority noted in decision n° 20-DCC-09 that the advertisers of the Nice Matin group, controlled by NJJ, "are primarily local advertisers (town halls, local dealers or distributors, and event organizers)". Consequently, the operation is not likely to generate effects through this channel.  </w:t>
        <w:br/>
        <w:t xml:space="preserve">104. The new entity could also wish to cease selling advertising space in regional daily print media to Mediawan's competitors. However, no television channel publisher is present among the top twenty advertisers of the various regional daily print media titles. Moreover, the Authority has repeatedly noted that "given the difficulties faced by regional press publishers, resources related to the dissemination of advertising and classified ads constitute important resources in economically difficult conditions where press titles struggle to achieve financial balance". Consequently, it is unlikely that the titles would choose to refuse to sell advertising space to advertisers.  </w:t>
        <w:br/>
        <w:t xml:space="preserve">105. Consequently, the operation is not likely to harm competition through vertical effects.  </w:t>
        <w:br/>
        <w:t xml:space="preserve">C. ANALYSIS OF CONGLOMERATE EFFECTS  </w:t>
        <w:br/>
        <w:t xml:space="preserve">106. A concentration is likely to lead to conglomerate effects when the new entity extends or strengthens its presence in markets that are connected to other markets where it holds market power.  </w:t>
        <w:br/>
        <w:t xml:space="preserve">107. However, decision-making practice generally holds that a risk of vertical or conglomerate effect can be ruled out as long as the market share of the company resulting from the operation in the relevant markets does not exceed 30%45.  </w:t>
        <w:br/>
        <w:t xml:space="preserve">108. Several markets affected by the operation present connections. However, the operation is not likely to harm competition through conglomerate effects.  </w:t>
        <w:br/>
        <w:t xml:space="preserve">109. First, the market for channel publishing in which Mediawan is active presents a connection with the market for internet access provision. Indeed, in the internet access provision market, more than two-thirds of subscriptions are bundled with a television offer. In this context, the parties could wish to bundle the internet offers distributed under the Free brand with Mediawan's pay channels. However, the market shares of the parties in the various relevant markets are below 30%. Consequently, the parties do not have a sufficient position in the market to implement a tying strategy.  </w:t>
        <w:br/>
        <w:t xml:space="preserve">110. Secondly, the market for television advertising space sales, whether directly or through an agency, in which Mediawan is active, presents a connection with the market for internet access provision, in which NJJ is present. Indeed, NJJ could use the information collected about its subscribers through Free offers to sell targeted television advertisements on Mediawan's channels and deny access to these data to competing agencies and advertising space sellers. However, NJJ's market share in the internet access markets is below 30%, regardless of the segmentation chosen, and Mediawan's market share is below 30% in the television advertising space sales and advertising agency markets. Furthermore, this strategy could be replicated by some of NJJ's competitors, as the Bouygues group controls both TF1 and the Bouygues Telecom operator, and the Altice group controls both the SFR operator and the free channels RMC Story (formerly Numéro 23), RMC Découverte, and BFM TV, as well as the pay channels RMC Sport and 01TV. Consequently, following the operation, the parties will not be able to implement such a leverage effect.  </w:t>
        <w:br/>
        <w:t>111. Thirdly, a connection exists between the activities of the parties in the various advertising space sales markets. Indeed, the parties could wish to establish offers bundling the different advertising media. In these markets, only NJJ Presse has a market share exceeding 30% in the advertising space sales market.</w:t>
      </w:r>
    </w:p>
    <w:p>
      <w:r>
        <w:rPr>
          <w:b/>
        </w:rPr>
        <w:t>[Pages 16–17]</w:t>
      </w:r>
    </w:p>
    <w:p>
      <w:r>
        <w:t>in the regional daily press. However, Mediawan and NJJ Presse sell advertising spaces to different advertisers and do not have any common advertisers among their main clients. Advertisers purchasing spaces in the regional daily press have a strong local dimension ([confidential]), while advertisers purchasing television advertising spaces from Mediawan are large French and international groups active in [confidential].</w:t>
      </w:r>
    </w:p>
    <w:p>
      <w:r>
        <w:t>112. Consequently, the operation is not likely to harm competition through conglomerate effects.</w:t>
      </w:r>
    </w:p>
    <w:p>
      <w:r>
        <w:t>D. ANALYSIS OF THE RISK OF COORDINATION BETWEEN GTO, NJJ PRESSE, AND LNEI</w:t>
      </w:r>
    </w:p>
    <w:p>
      <w:r>
        <w:t>113. In accordance with the decision-making practice of the European Commission, adopted by national competition authorities46, the creation of a joint venture is also likely to lead to a risk of coordination between the parent companies when the following three cumulative conditions are met: (i) the risk of coordination must have a direct causal link with the creation of the joint venture, (ii) the coordination must be sufficiently likely, and (iii) the coordination must have a significant effect on competition.</w:t>
      </w:r>
    </w:p>
    <w:p>
      <w:r>
        <w:t>114. In this case, the notifying parties are creating the company HoldCo, which they jointly control as part of the arrangement related to the public takeover bid for Mediawan. The creation of this company could thus lead to coordination between the behaviors of LNEI, NJJ Presse, and GTO.</w:t>
      </w:r>
    </w:p>
    <w:p>
      <w:r>
        <w:t>115. However, such a risk can be ruled out. First of all, it should be noted that Messrs. Capton, Niel, and Pigasse, who respectively control GTO, NJJ, and LNEI, are the founders of Mediawan. These three companies thus have pre-existing links prior to the operation.</w:t>
      </w:r>
    </w:p>
    <w:p>
      <w:r>
        <w:t>116. Furthermore, following the operation, GTO will contribute its audiovisual activities to Mediawan Alliance and will consequently no longer be active in the markets concerned by the operation. Therefore, it is only necessary to examine the risk of coordination between the behaviors of LNEI and NJJ Presse. However, these two companies already exercise joint control over the groups Le Monde and Le Nouvel Observateur. As a result, any risk of coordination between these two companies cannot be entirely attributed to the present operation.</w:t>
      </w:r>
    </w:p>
    <w:p>
      <w:r>
        <w:t>117. Moreover, the positions of the notifying parties across all analyzed markets are such that a coordination strategy would not have significant effects on competition. Indeed, it appears that their market shares are below 30% in almost all of the studied markets (with the exception of the regional daily press market where only NJJ Presse is present). Thus, across all these markets, the notifying parties will face strong competitors, which will be likely to discipline them in the event they coordinate.</w:t>
      </w:r>
    </w:p>
    <w:p>
      <w:r>
        <w:t>118. Consequently, the operation is not likely to lead to a coordination of the behavior of the notifying parties.</w:t>
      </w:r>
    </w:p>
    <w:p>
      <w:r>
        <w:t>46 See the opinion of the Competition Council No. 07-A-09 of August 2, 2007, and the decisions of the Minister of Economy C2007-27 of August 28, 2007, and C2006-45 of August 10, 2006.</w:t>
      </w:r>
    </w:p>
    <w:p>
      <w:r>
        <w:t>DECIDES</w:t>
      </w:r>
    </w:p>
    <w:p>
      <w:r>
        <w:t>Sole Article: The operation notified under number 20-101 is authorized.</w:t>
      </w:r>
    </w:p>
    <w:p>
      <w: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