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https://www.autoritedelaconcurrence.fr/fr/decision-de-controle-des-concentrations/relative-la-prise-de-controle-conjoint-de-mfi-et-ruhr-park</w:t>
      </w:r>
    </w:p>
    <w:p>
      <w:r>
        <w:t>Pages translated : 4</w:t>
      </w:r>
    </w:p>
    <w:p/>
    <w:p>
      <w:r>
        <w:rPr>
          <w:b/>
        </w:rPr>
        <w:t>[Pages 1–3]</w:t>
      </w:r>
    </w:p>
    <w:p>
      <w:r>
        <w:t xml:space="preserve">FRENCH REPUBLIC  </w:t>
        <w:br/>
        <w:t xml:space="preserve">Decision No. 13-DCC-06 of January 21, 2013  </w:t>
        <w:br/>
        <w:t xml:space="preserve">regarding the joint control of mfi and Ruhr-Park by  </w:t>
        <w:br/>
        <w:t>Rodamco Retail Deutschland B.V. and PWREF I Holding Sàrl</w:t>
      </w:r>
    </w:p>
    <w:p>
      <w:r>
        <w:t xml:space="preserve">The Competition Authority,  </w:t>
        <w:br/>
        <w:t xml:space="preserve">Having regard to the notification file submitted in full to the mergers service on December 13, 2012, regarding the joint control of the companies mfi and Ruhr Park by the companies Rodamco Retail Deutschland B.V. and PWREF I Holding Sàrl;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Rodamco Retail Deutschland B.V. is a Dutch company, a subsidiary of Unibail-Rodamco SE (hereinafter "UR"), a European company present in the listed commercial real estate market, particularly active in the sector of large shopping centers in European capitals, large office buildings in the heart and west of Paris, and large convention-exhibition centers in the Paris region.  </w:t>
        <w:br/>
        <w:t xml:space="preserve">2. PWREF I Holding Sàrl (hereinafter "PWREF") is a Luxembourg company [confidential] of the Perella Weinberg Partners Group LP (hereinafter PWP). It operates in the real estate investment market. PWREF holds 100% of the shares of Purple Grafton Sàrl (a holding company that holds 90.43% of mfi) and Red Grafton Sàrl (a holding company that holds 100% of the share capital of Red Grafton I Sàrl and 100% of the share capital of Red Grafton II Sàrl, respectively the property owner and the owner of the facilities of Ruhr-Park).  </w:t>
        <w:br/>
        <w:t xml:space="preserve">3. mfi is a German company, operator, investor, and developer of fully integrated shopping centers, 90.43% owned by the holding company Purple Grafton. It is also involved in the management of shopping centers and conducts its activities primarily in Germany.  </w:t>
        <w:br/>
        <w:t xml:space="preserve">4. Ruhr-Park is a shopping center almost entirely owned by the "Red Grafton Entities," near the city of Bochum, Germany. The Red Grafton Entities manage it, while mfi provides various services subject to a real estate services contract.  </w:t>
        <w:br/>
        <w:t xml:space="preserve">5. On August 2, 2012, the parties signed a share purchase agreement and a shareholders' agreement under which UR acquired 51% of the shares of Purple Grafton from PWREF. On August 10, 2012, the parties signed a share purchase agreement and a shareholders' agreement under which UR acquired 50% of the shares of Red Grafton from PWREF. UR and PWREF will exercise joint control over the targets as they each hold 50% of the capital of Red Grafton and, respectively, 51% and 49% of Purple Grafton and where, in accordance with the provisions of the shareholders' agreements, UR and PWREF will each have two directors on the boards of directors, with the chairpersons having a casting vote to be chosen by UR and where PWREF will have a veto right for the adoption of decisions concerning the business plan.  </w:t>
        <w:br/>
        <w:t xml:space="preserve">6. Insofar as it results in the joint control of the targets mfi and Ruhr Park by UR and PWREF, the operation constitutes a concentration within the meaning of Article L. 430-1 of the Commercial Code.  </w:t>
        <w:br/>
        <w:t>7. The concerned companies together achieve a total worldwide turnover of more than 150 million euros (UR: […] euros; PWP: […] including […] euros for mfi and […] for Ruhr-Park). Two of them have achieved, in France, a turnover exceeding 50 million euros (UR: […] euros; PWP: […] euros). Given these turnover figures, the operation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8. The concerned parties are active in the real estate sector, both in the rental of commercial real estate and in the management of real estate.  </w:t>
        <w:br/>
        <w:t xml:space="preserve">A. THE MARKETS FOR PRODUCTS AND SERVICES  </w:t>
        <w:br/>
        <w:t xml:space="preserve">1. THE SERVICES FOR RENTING COMMERCIAL REAL ESTATE  </w:t>
        <w:br/>
        <w:t xml:space="preserve">9. The European Commission and the French authorities consider that the real estate product market can be subdivided between the rental of commercial real estate, on the one hand, and residential real estate, on the other.  </w:t>
        <w:br/>
        <w:t xml:space="preserve">10. The European Commission has distinguished four potential sub-segments within the rental of commercial real estate (on the German market): i) the rental of retail spaces; ii) the rental of retail spaces in retail trade centers with an area of at least 8,000 or 10,000 m²; iii) the rental of retail spaces in shopping centers with an area of at least 8,000 or 10,000 m²; and iv) the rental of retail spaces in shopping centers with an area of at least 8,000 or 10,000 m² and located in surrounding regions (for example, within a radius of 50 km around the shopping center).  </w:t>
        <w:br/>
        <w:t xml:space="preserve">11. In the present case, the question of the precise delineation of these markets can be left open insofar as, regardless of the assumption retained, the conclusions of the competitive analysis will remain unchanged.  </w:t>
        <w:br/>
        <w:t xml:space="preserve">2. THE SERVICES FOR MANAGING REAL ESTATE  </w:t>
        <w:br/>
        <w:t xml:space="preserve">12. Real estate management services are offered to property owners and include a range of services such as asset management, commercial management, or retail center management.  </w:t>
        <w:br/>
        <w:t xml:space="preserve">13. The European Commission has considered that commercial and residential real estate management services belong to two distinct segments. It has also distinguished the following four potential sub-segments (in Germany): i) the management of commercial real estate; ii) the management of retail spaces in Germany; iii) the management of retail centers with an area of at least 8,000 or 10,000 m²; and iv) the management of shopping centers with an area of at least 8,000 or 10,000 m².  </w:t>
        <w:br/>
        <w:t xml:space="preserve">14. In the present case, the question of the precise delineation of these markets can also be left open insofar as, regardless of the assumption retained, the conclusions of the competitive analysis will remain unchanged.  </w:t>
        <w:br/>
        <w:t xml:space="preserve">B. THE GEOGRAPHICAL MARKETS  </w:t>
        <w:br/>
        <w:t xml:space="preserve">15. European and national decision-making practice has considered that the market for renting commercial real estate is of national or sub-national dimension. The Authority and the European Commission have considered the segment of real estate management to be of national dimension.  </w:t>
        <w:br/>
        <w:t>16. There is no need to challenge these delimitations in the context of the present operation.</w:t>
      </w:r>
    </w:p>
    <w:p>
      <w:r>
        <w:rPr>
          <w:b/>
        </w:rPr>
        <w:t>[Pages 4–4]</w:t>
      </w:r>
    </w:p>
    <w:p>
      <w:r>
        <w:t xml:space="preserve">III. Competitive Analysis  </w:t>
        <w:br/>
        <w:t xml:space="preserve">17. The transaction, although subject to the provisions of Articles L. 430-3 and following of the Commercial Code relating to economic concentration, due to the revenues generated in France by the two acquirers, is not likely to have an effect on the relevant markets.  </w:t>
        <w:br/>
        <w:t xml:space="preserve">18. Indeed, while these markets are of national or sub-national dimension, the two acquirers, UR and PWREF, are simultaneously active in France in the markets for the rental and management services of real estate, but the targets mfi and Ruhr Park do not engage in any activity in France. The transaction therefore does not lead to any overlap in activity.  </w:t>
        <w:br/>
        <w:t xml:space="preserve">19. Furthermore, given the national or sub-national nature of the relevant markets, and the nature of the transaction (the activity of the two targets primarily consisting of operating five shopping centers in Germany), the transaction does not entail a risk of coordination among the parent companies in the French market.  </w:t>
        <w:br/>
        <w:t xml:space="preserve">20. Consequently, the transaction is not likely to harm competition in France in the relevant markets.  </w:t>
        <w:br/>
        <w:t xml:space="preserve">DECIDES  </w:t>
        <w:br/>
        <w:t xml:space="preserve">Sole Article: The transaction notified under number 12-201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