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https://www.autoritedelaconcurrence.fr/fr/decision-de-controle-des-concentrations/relative-la-prise-de-controle-conjoint-de-onze-societes</w:t>
      </w:r>
    </w:p>
    <w:p>
      <w:r>
        <w:t>Pages translated : 2</w:t>
      </w:r>
    </w:p>
    <w:p/>
    <w:p>
      <w:r>
        <w:rPr>
          <w:b/>
        </w:rPr>
        <w:t>[Pages 1–2]</w:t>
      </w:r>
    </w:p>
    <w:p>
      <w:r>
        <w:t xml:space="preserve">FRENCH REPUBLIC  </w:t>
        <w:br/>
        <w:t xml:space="preserve">Decision No. 24-DCC-143 of July 3, 2024  </w:t>
        <w:br/>
        <w:t xml:space="preserve">regarding the joint control acquisition of eleven companies holding wind farms by the companies Amundi and TTR Energy  </w:t>
        <w:br/>
        <w:t xml:space="preserve">The Competition Authority,  </w:t>
        <w:br/>
        <w:t xml:space="preserve">Having regard to the complete notification file sent to the mergers department on June 18, 2024, concerning the joint control acquisition of eleven companies holding wind farms by the companies Amundi and TTR Energy, formalized by the acquisition contract of June 6, 2024;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companies Amundi and TTR Energy of the companies Ferme Eolienne Est, Ferme Eolienne I, Ferme Eolienne Nord, SEPE Ludmila 2, SEPE Ludmila 1, SEPE de Bergodsom, SEPE Sachin, SEPE de Tripleville, SEPE Ludmila 3, Energie Divonne and SEE d’Orvilliers et Mesgrigny, active in the wind energy production sector in France.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24-149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