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https://www.autoritedelaconcurrence.fr/fr/decision-de-controle-des-concentrations/relative-la-prise-de-controle-conjoint-de-patrick-fabre</w:t>
      </w:r>
    </w:p>
    <w:p>
      <w:r>
        <w:t>Pages translated : 6</w:t>
      </w:r>
    </w:p>
    <w:p/>
    <w:p>
      <w:r>
        <w:rPr>
          <w:b/>
        </w:rPr>
        <w:t>[Pages 1–3]</w:t>
      </w:r>
    </w:p>
    <w:p>
      <w:r>
        <w:t xml:space="preserve">FRENCH REPUBLIC  </w:t>
        <w:br/>
        <w:t xml:space="preserve">Decision No. 10-DCC-12 of January 27, 2010  </w:t>
        <w:br/>
        <w:t xml:space="preserve">regarding the joint control of Patrick Fabre Entreprise and  </w:t>
        <w:br/>
        <w:t xml:space="preserve">Groupe Casino Guichard Perrachon over the company Leader Price  </w:t>
        <w:br/>
        <w:t xml:space="preserve">Essonne  </w:t>
        <w:br/>
        <w:t xml:space="preserve">The Competition Authority,  </w:t>
        <w:br/>
        <w:t xml:space="preserve">Having regard to the notification file submitted in full to the merger service on December 24, 2009, concerning the creation of a joint venture, the company Patrick Fabre Distribution, between Groupe Casino Guichard Perrachon (hereinafter "Groupe Casino") and the company Patrick Fabre Entreprise formalized on December 31, 2008, and to the share transfer agreement signed on January 29, 2009, between the company Asinco (a subsidiary of Groupe Casino) and the company Patrick Fabre Distribution, of the company Leader Price Essonne.  </w:t>
        <w:br/>
        <w:t xml:space="preserve">Having regard to Book IV of the Commercial Code relating to price freedom and competition, and in particular its Articles L. 430-1 to L. 430-7;  </w:t>
        <w:br/>
        <w:t xml:space="preserve">Adopts the following decision:  </w:t>
        <w:br/>
        <w:t xml:space="preserve">I. The concerned companies and the operation  </w:t>
        <w:br/>
        <w:t>1. Groupe Casino, a player in food-oriented distribution, manages a network of over 10,000 stores (hypermarkets, supermarkets, convenience stores, discount stores…) under the brands Casino, Franprix, Spar, Vival, Naturalia, and Leader Price. Groupe Casino also holds 50% of the Monoprix group. Additionally, it is present in the online distribution sector of non-food products with the brand Cdiscount. The company Leader Price Essonne is a French law company whose purpose is the operation of a food-oriented store, operated under the Leader Price brand in Orange (84100). The company Leader Price Essonne is 99.9% owned by Leader Price Holding and the remainder by Leader Price Francilienne. Leader Price Holding and Leader Price Francilienne are subsidiaries of SAS Asinco, which is 100% owned by Groupe Casino. The total worldwide turnover excluding taxes achieved by Groupe Casino in 2008, the last closed financial year, amounted to 28.7 billion euros, of which 18.6 billion euros were in France.</w:t>
      </w:r>
    </w:p>
    <w:p>
      <w:r>
        <w:t>2. The company Patrick Fabre Entreprise (hereinafter "Patrick Fabre Entreprise"), 99.6% owned in terms of capital and voting rights by Mr. Patrick Fabre, operates franchised stores, Leader Price in Martinique and Belgium, and Franprix in Martinique. The total worldwide turnover excluding taxes of Patrick Fabre Entreprise amounted in 2008, the last closed financial year, to 195 million euros, of which 149 million euros were in France.</w:t>
      </w:r>
    </w:p>
    <w:p>
      <w:r>
        <w:t>3. The notified operation takes place in two stages. In the first stage, the companies Patrick Fabre Entreprise and Asinco created a joint venture, the company Patrick Fabre Distribution, registered on February 26, 2009. In the second stage, the company Patrick Fabre Distribution committed by a transfer agreement protocol dated January 29, 2009, to acquire all the shares of the company Leader Price Essonne held by Groupe Casino.</w:t>
      </w:r>
    </w:p>
    <w:p>
      <w:r>
        <w:t>4. The capital of Patrick Fabre Distribution is distributed among Patrick Fabre Entreprise, Asinco, and Mr. Patrick Fabre, respectively at 55%, 40%, and 5%. The company Patrick Fabre Distribution will initially aim to operate and develop a network of stores distributing fast-moving consumer goods under the Leader Price brand or any derivative brand of Leader Price in the departments of Vaucluse and Bouches du Rhône within the framework of a brand licensing and supply contract. In the second stage, the company Patrick Fabre Distribution will aim to operate stores under the Leader Price brand in other areas of metropolitan France.</w:t>
      </w:r>
    </w:p>
    <w:p>
      <w:r>
        <w:t>5. Groupe Casino has a statutory veto right over any amendment to the statutes, which includes changes to the purpose of the company where it is specified that "the purpose of the company is the acquisition, operation, leasing [...] of all commercial or industrial enterprises directly or indirectly related to a distribution activity of fast-moving consumer goods under the Leader Price brand or any other brand of Groupe Casino." Furthermore, under the agreement signed on December 31, 2008, between the shareholders of the company Patrick Fabre Distribution, the company Asinco benefits from a right of first refusal in the event of the sale of the business or shares of the subsidiary companies of Patrick Fabre Distribution. Finally, it can be noted that Groupe Casino, through its subsidiary Asinco, has a call option on the stores that will be operated by Patrick Fabre Distribution.</w:t>
      </w:r>
    </w:p>
    <w:p>
      <w:r>
        <w:t>6. It follows from the above that after the operation, Groupe Casino will exercise joint control over the company Patrick Fabre Distribution.</w:t>
      </w:r>
    </w:p>
    <w:p>
      <w:r>
        <w:t>7. Paragraph 147 of the consolidated communication on the Commission's jurisdiction under Council Regulation (EC) No. 139/2004 concerning the control of concentrations between undertakings specifies that: "when the joint venture can be considered as a mere vehicle used for an acquisition by the parent companies, the Commission will consider each founding company as concerned undertakings, rather than the joint venture in question, and the target company. This is particularly the case when the joint venture has been specifically created for the purpose of acquiring the target company or is not yet operational, when an existing joint venture does not have the full exercise character referred to above, or when the joint venture is an association of companies. The same applies when the facts demonstrate that the parent companies are in fact the true actors of the operation. Thus, the active participation of the parent companies in the initiative, organization, and financing of the operation will be cited. The parent companies are then considered as the concerned undertakings."</w:t>
      </w:r>
    </w:p>
    <w:p>
      <w:r>
        <w:t>8. Furthermore, the Commission states in paragraph 139 of the aforementioned communication that "In the case of a joint control acquisition of a newly created company, the undertakings concerned are each of the undertakings acquiring control of the newly created joint venture (which, as it does not yet exist, cannot be considered as an undertaking concerned and furthermore does not yet have its own turnover). The same rule applies when a company contributes a pre-existing subsidiary or activity (over which it previously exercised exclusive control) into a newly created joint venture. In this case, each of the undertakings exercising joint control is considered as an undertaking concerned, which is not the case for any company or activity contributed to the joint venture, and its turnover is part of the turnover of the initial founding company."</w:t>
      </w:r>
    </w:p>
    <w:p>
      <w:r>
        <w:t>9. In the case at hand, Patrick Fabre Distribution does not yet have economic activity at the time of the acquisition of the company Leader Price Essonne. Furthermore, the company Leader Price Essonne is exclusively controlled by Groupe Casino before the operation. It is therefore appropriate to consider that the concerned undertakings are the company Patrick Fabre Entreprise and Groupe Casino.</w:t>
      </w:r>
    </w:p>
    <w:p>
      <w:r>
        <w:t>10. The operation, which consists of the transition from exclusive control of the company Leader Price Essonne by Groupe Casino to joint control exercised by the company Patrick Fabre Entreprise and Groupe Casino, constitutes a concentration within the meaning of Article L. 430-1 of the Commercial Code.</w:t>
      </w:r>
    </w:p>
    <w:p>
      <w:r>
        <w:t xml:space="preserve">11. Given the turnover of the concerned companies, the concentration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12. According to the constant practice of national and community competition authorities, two categories of markets can be delineated in the food-oriented distribution sector. These are, on the one hand, "downstream" markets, of a local dimension, which bring together retail trade companies and consumers for the sale of consumer goods and, on the other hand, "upstream" markets for supplying retail trade companies with everyday consumer goods, of a national dimension.  </w:t>
        <w:br/>
        <w:t xml:space="preserve">1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2 Decisions of the Commission in the cases M.1221 Rewe/Meinl of February 3, 1999, M.1684 Carrefour/Promodès of January 25, 2000, and M.2115 Carrefour/GB of September 28, 2000. See also the decision C.2005-98 Carrefour/Penny Market of November 10, 2005.</w:t>
      </w:r>
    </w:p>
    <w:p>
      <w:r>
        <w:rPr>
          <w:b/>
        </w:rPr>
        <w:t>[Pages 4–6]</w:t>
      </w:r>
    </w:p>
    <w:p>
      <w:r>
        <w:t>A. DOWNSTREAM MARKETS OF FOOD-ORIENTED DISTRIBUTION</w:t>
        <w:br/>
        <w:t>1. SERVICE MARKETS</w:t>
        <w:br/>
        <w:t>13.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maxi discounters, (vi) mail order sales.</w:t>
        <w:br/>
        <w:t>14. In the case at hand, the store concerned is a discount store with a sales area of 1175m².</w:t>
        <w:br/>
        <w:t>2. GEOGRAPHICAL DELIMITATION OF DOWNSTREAM DISTRIBUTION MARKETS</w:t>
        <w:br/>
        <w:t>SUPPLY MARKETS</w:t>
        <w:br/>
        <w:t>15. In its recent decisions regarding operations involving hypermarkets or supermarkets with a food-oriented focus, the Competition Authority recalled that depending on the size of the stores concerned, the conditions of competition should be assessed over two different areas:</w:t>
        <w:br/>
        <w:t>- a first area where consumer demand meets the supply of hypermarkets that they can access within less than 30 minutes of driving and which are, from their perspective, substitutable for one another;</w:t>
        <w:br/>
        <w:t>- a second area where consumer demand meets the supply of supermarkets and other equivalent forms of commerce located within less than 15 minutes of driving time. These latter forms of commerce may include, in addition to supermarkets, hypermarkets and discount stores.</w:t>
        <w:br/>
        <w:t>16. Other criteria may nevertheless be taken into account to assess the impact of a concentration on the competitive situation in retail distribution markets, which may lead to refining, in the case at hand, the usual delimitations presented above.</w:t>
        <w:br/>
        <w:t>17. In the case at hand, the only market concerned is the market comprising hypermarkets, supermarkets, and discount stores within a 15-minute driving radius around Orange.</w:t>
      </w:r>
    </w:p>
    <w:p>
      <w:r>
        <w:t>B. UPSTREAM SUPPLY MARKETS</w:t>
        <w:br/>
        <w:t>18. Regarding the supply markets, the European Commission has recognized the existence of markets of national dimension by major product groups, a delimitation followed by national authorities.</w:t>
        <w:br/>
        <w:t>19. There is no need to challenge this delimitation in the context of the present operation.</w:t>
        <w:br/>
        <w:t>III. Competitive Analysis</w:t>
        <w:br/>
        <w:t>1. DOWNSTREAM MARKETS OF FOOD-ORIENTED DISTRIBUTION</w:t>
        <w:br/>
        <w:t>20. In the market considered, the stores operated under the Casino Group brand hold, before and after the operation, [10-20]% of the market shares calculated by sales area, with stores of less than 400 m² being excluded from the analysis. Patrick Fabre Entreprise does not own any stores in this catchment area before the operation. They face competition from stores under the Carrefour group brands ([40-50]% of market shares), under the Intermarché group brands ([20-30]% of market shares), as well as competition from LIDL ([5-10]%), ALDI France ([5-10]%), and Grand Frais ([0-5]%).</w:t>
        <w:br/>
        <w:t>21. Consequently, the operation is not likely to harm competition in the downstream market of food-oriented distribution.</w:t>
        <w:br/>
        <w:t>2. UPSTREAM SUPPLY MARKETS</w:t>
        <w:br/>
        <w:t>22. Regarding the upstream supply markets, the operation, limited to one store, is not likely to strengthen the purchasing power of the Casino Group, across all products as well as by major product groups. Indeed, the Leader Price store in Orange was already bound by an exclusive supply contract with Distribution Leader Price, a subsidiary of the Casino Group responsible for the Leader Price brand.</w:t>
      </w:r>
    </w:p>
    <w:p>
      <w:r>
        <w:t>DECIDES</w:t>
        <w:br/>
        <w:t>Sole Article: The operation notified under number 09-0112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