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https://www.autoritedelaconcurrence.fr/fr/decision-de-controle-des-concentrations/relative-la-prise-de-controle-conjoint-de-societe-des</w:t>
      </w:r>
    </w:p>
    <w:p>
      <w:r>
        <w:t>Pages translated : 2</w:t>
      </w:r>
    </w:p>
    <w:p/>
    <w:p>
      <w:r>
        <w:rPr>
          <w:b/>
        </w:rPr>
        <w:t>[Pages 1–2]</w:t>
      </w:r>
    </w:p>
    <w:p>
      <w:r>
        <w:t>FRENCH REPUBLIC</w:t>
        <w:br/>
        <w:t>Decision No. 24-DCC-275 of December 10, 2024</w:t>
        <w:br/>
        <w:t>regarding the joint control of Société des Brasseries &amp; Cidreries de Milly and the Deroche group by the companies LBO France Gestion and CBS</w:t>
        <w:br/>
        <w:t>The Competition Authority,</w:t>
        <w:br/>
        <w:t>Having regard to the complete notification file sent to the mergers department on November 15, 2024, concerning the joint control of Société des Brasseries &amp; Cidreries de Milly (hereinafter "BCM") and the Deroche group by the companies LBO France Gestion and CBS formalized by a memorandum of understanding regarding the minority stake acquisition by LBO France within the Rouquette group signed on November 2, 2024, and a unilateral purchase promise under a suspensive condition signed on November 9, 2024;</w:t>
        <w:br/>
        <w:t>Having regard to Book IV of the Commercial Code relating to price and competition freedom, and in particular its Articles L. 430-1 to L. 430-7;</w:t>
        <w:br/>
        <w:t>Having regard to the supplementary elements transmitted by the notifying parties during the investigation;</w:t>
        <w:br/>
        <w:t>Adopts the following decision:</w:t>
        <w:br/>
        <w:t>1. The notified operation consists of two concentrations. The first operation involves LBO France entering the capital of BCM for [20-30]% of the capital and voting rights of BCM, with the Rouquette family holding, via CBS, [70-80]% of the capital and voting rights of BCM. Under the shareholders' agreement to be concluded between LBO France and CBS, LBO France will benefit from veto rights over BCM's strategic decisions. Following this operation, LBO France and CBS will therefore hold joint control of BCM. The second operation involves BCM acquiring [90-100]% of the capital and voting rights of Deroche SA, which heads the Deroche group. Following this operation, BCM will hold exclusive control of the Deroche group. Indirectly, LBO France and CBS will therefore hold joint control of the Deroche group. These distinct operations constitute concentrations within the meaning of Article L. 430-1 of the Commercial Code, which should be treated as a single concentration given their interdependent nature. The sectors primarily concerned by these operations are those of wholesale distribution of food products. Given the revenues generated by the companies involved,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r>
    </w:p>
    <w:p>
      <w:r>
        <w:t>2. In light of the elements of the file, the operation is not likely to harm competition in the concerned markets.</w:t>
        <w:br/>
        <w:t>DECIDES</w:t>
        <w:br/>
        <w:t>Sole Article: The operation notified under number 24-263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