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https://www.autoritedelaconcurrence.fr/fr/decision-de-controle-des-concentrations/relative-la-prise-de-controle-conjoint-de-sogestop-n-par</w:t>
      </w:r>
    </w:p>
    <w:p>
      <w:r>
        <w:t>Pages translated : 8</w:t>
      </w:r>
    </w:p>
    <w:p/>
    <w:p>
      <w:r>
        <w:rPr>
          <w:b/>
        </w:rPr>
        <w:t>[Pages 1–3]</w:t>
      </w:r>
    </w:p>
    <w:p>
      <w:r>
        <w:t>FRENCH REPUBLIC</w:t>
        <w:br/>
        <w:t>Decision No. 13-DCC-194 of December 17, 2013</w:t>
        <w:br/>
        <w:t>regarding the joint control of Sogestop N by the CNP and Humanis groups</w:t>
        <w:br/>
        <w:t>The Competition Authority,</w:t>
        <w:br/>
        <w:t>Having regard to the notification file submitted in full to the merger service on November 14, 2013, concerning the joint control of Sogestop N by the CNP and Humanis groups, formalized by a memorandum of understanding dated June 12, 2013;</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w:t>
        <w:br/>
        <w:t>1. The Humanis group is a parity social protection group. It has a summit association that brings together eight complementary retirement institutions (Abelio, Altea, Cgrer, CRE (international), Irneo, IRCAFEX (international), Novalis Retraite Agirc, and Novalis Retraite Arrco), six provident institutions (Capaves Prévoyance, Humanis Prévoyance, Carcel Prévoyance, IP BP, Cria Prévoyance, Ipsec), six mutuals (Grand Est Mutuelle, MBA Radiance, Mutuelle Humanis Familiale, Mutuelle Humanis Nationale, Mutuelle Renault, Radiance CMPI Alençon), and five unions of mutuals (Radiance group Humanis, Servalys, UGM, RMPI, and URMA). Several subsidiaries of the group, including the financial holding Copernic, are not members of the summit association for legal and tax reasons. Their activities include, in particular, financial management, employee savings, life insurance, insurance brokerage, professional training, international personal insurance, and service provision on behalf of third-party insurers. Seven joint service groups pool the human and material resources of Humanis.</w:t>
        <w:br/>
        <w:t>2. CNP Assurances (hereinafter "CNP"), a public limited company governed by the Insurance Code, is a personal insurance group active in the sectors of insurance, dependency, and personal services. CNP is 40.87% owned by the Caisse des Dépôts et Consignations, 36.25% by the holding company Sopassure (itself owned 50.1% by Banque Postale and 49.9% by BPCE), and 1.11% by the State. The remaining share of the capital is held by the public. It follows from this distribution of capital and the statutes of CNP that it is not controlled exclusively or jointly by any of its shareholders.</w:t>
        <w:br/>
        <w:t>3. The company Sogestop N is a public limited company created in 2011 and 100% owned by Humanis, via Copernic, its financial holding. Its purpose is to acquire holdings but, to date, it has no activity.</w:t>
        <w:br/>
        <w:t>4. Under the terms of the memorandum of understanding dated June 12, 2013, CNP Invalidité, Accident, Maladie, a subsidiary of CNP*, will acquire 35% of the capital of Sogestop N, which will group certain employee savings activities of CNP and Humanis, namely the activities of record keeping, marketing, and conservative account management of shares (TCCP). Employee savings products will be marketed by the joint venture and distributed by the Humanis network as well as by third-party operators. The joint venture will also be equipped with sufficient resources, including personnel, to enable it to sustainably perform all the functions of an autonomous economic entity.</w:t>
        <w:br/>
        <w:t>5. Under the terms of the shareholders' agreement dated June 12, 2013, the board of directors of Sogestop N will consist of fifteen members, ten of whom will be appointed on the proposal of Humanis (including the chairman) and five on the proposal of CNP (including the vice-chairman). The shareholders' agreement provides that certain strategic decisions require the approval of the board of directors by a qualified majority, including a positive vote from at least eleven-fifteenths of the directors present or represented. The strategic decisions subject to this rule include, in particular, the adoption of the three-year strategic plan and the annual budget, the appointment and renewal of the managing director and the deputy managing director, as well as "significant operations in terms of investment, charges, or financing for an amount exceeding […] euros." CNP and Humanis will therefore have a veto right over the strategic decisions of Sogestop N.</w:t>
        <w:br/>
        <w:t>6. In light of the above, the notified operation is analyzed as the creation of a full-function joint venture. Consequently, this operation constitutes a concentration within the meaning of Article L. 430-1 and following of the Commercial Code.</w:t>
        <w:br/>
        <w:t>7. The memorandum of understanding also provides for the exclusive control through a merger by absorption by Inter Expansion, an indirect subsidiary of the Humanis group, of the company Fongepar Gestion Financière (hereinafter "FGF"), currently controlled by CNP. FGF and Inter Expansion are active in the portfolio management sector. This exclusive control constitutes a concentration, but given the turnover of […] euros achieved by FGF in 2012, the notification thresholds provided for in I of Article L. 430-2 of the Commercial Code are not exceeded.</w:t>
        <w:br/>
        <w:t>* Correction of material error.</w:t>
        <w:br/>
        <w:t>2</w:t>
      </w:r>
    </w:p>
    <w:p>
      <w:r>
        <w:t>8. Regarding the assessment of the unique nature of these two operations, it appears from the memorandum of understanding that "the operations (...) constitute an indivisible whole." They are therefore linked by a conditional connection. Furthermore, the business areas of the joint venture on one hand and of FGF and Inter Expansion on the other hand, present connections of relatedness. Nevertheless, the companies acquiring control are not identical in these two operations, with the Humanis group transferring part of its stake in Sogestop N to CNP, which takes joint control, and acquiring exclusive control of FGF. As specified in the guidelines of the Competition Authority regarding merger control, "even when subject to a conditional connection, operations can only be considered as a unique concentration operation if for each of them, control is acquired by the same company or companies" (§65), which is not the case here. Therefore, these two operations will not be considered as a single concentration operation, but their effects on the relevant markets will nevertheless be examined in terms of the relatedness of the activities of the joint venture and its parent companies.</w:t>
        <w:br/>
        <w:t>9. The concerned companies achieved a consolidated worldwide turnover excluding taxes of more than 150 million euros in 2012 (Humanis group: […] euros for the fiscal year ending December 31, 2012; CNP group: […] euros for the same fiscal year). Each of these companies achieved a turnover in France exceeding 50 million euros (Humanis group: […] euros; CNP group: […] euros). Given these turnover figures, the thresholds provided for in Article 1, paragraph 2, a) and b) of Council Regulation (EC) No. 139/2004 of January 20, 2004, are met. Nevertheless, since CNP and Humanis generate more than two-thirds of their turnover in France, the operation is not of community dimension. On the other hand,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10. The joint venture of the parties to the operation will be active in the field of employee savings. It will also distribute collective retirement savings products on behalf of the Humanis group. However, the notified control does not result in any overlap of activities as CNP does not distribute such products. Humanis will also be solely active in the field of asset management, particularly of employee savings assets, through its subsidiary Inter Expansion following the merger with FGF. The notifying parties are also simultaneously active in the insurance sector.</w:t>
        <w:br/>
        <w:t>3</w:t>
      </w:r>
    </w:p>
    <w:p>
      <w:r>
        <w:rPr>
          <w:b/>
        </w:rPr>
        <w:t>[Pages 4–6]</w:t>
      </w:r>
    </w:p>
    <w:p>
      <w:r>
        <w:t>A. DELIMITATION OF PRODUCT OR SERVICE MARKETS</w:t>
        <w:br/>
        <w:t>1. INSURANCE AND REINSURANCE MARKETS</w:t>
        <w:br/>
        <w:t>11. National and community decision-making practice consistently distinguishes reinsurance activities from insurance activities. Regarding insurance activities, a distinction has been made between personal insurance and property insurance (property and liability), each of which can in turn be segmented into as many markets as there are insurances covering different types of risks. Finally, additional segmentations have been considered within personal insurance between group insurance contracts and individual insurance contracts, and within property insurance, between insurance intended for individuals and insurance intended for professionals.</w:t>
      </w:r>
    </w:p>
    <w:p>
      <w:r>
        <w:t>12. In this case, the parties to the operation are simultaneously active in personal insurance, in the following segments:</w:t>
        <w:br/>
        <w:t>- the market for group insurance which includes insurance products intended to cover beneficiaries against an unpredictable loss of income (in the event of death, disability, or incapacity) through a payment in the form of a capital sum or an annuity;</w:t>
        <w:br/>
        <w:t>- the markets for collective and individual supplementary health insurance which aim to complement the benefits offered by mandatory health insurance schemes. The covered risk corresponds to the expenses not covered by social security that must be incurred for medical treatment. The supplementary reimbursements depend on the benefits of the legal social security scheme.</w:t>
      </w:r>
    </w:p>
    <w:p>
      <w:r>
        <w:t>2. MARKETS FOR SALARY SAVINGS</w:t>
        <w:br/>
        <w:t>13. Regarding the joint venture, the notifying parties indicate that it will be active in the field of salary savings, which previous decision-making practice has considered as not falling within the domain of insurance.</w:t>
      </w:r>
    </w:p>
    <w:p>
      <w:r>
        <w:t>14. In this regard, it should be noted that regulatory provisions define salary savings as the set of mechanisms related to profit-sharing, participation, and salary savings plans allowing employees to benefit from additional income, under conditions that vary depending on each mechanism. Many salary savings mechanisms are closer to savings products and would therefore fall under the banking sector. Furthermore, the notifying parties indicate that decision 2002-03 of the Financial Markets Authority imposed a separation of account-keeping and financial management activities effective January 1, 2004. Management companies can no longer ensure only the financial management of investment supports, and account-keeping must be ensured by a licensed company as an "investment firm" or "credit institution" specifically authorized for the activity of maintaining accounts for the custody of financial instruments. For a company, setting up a salary savings mechanism for its employees involves being able to offer a savings plan (PEE, PEI, PERCO, etc.), which requires the regulatory intervention of a licensed company for the opening and management of individual accounts for the concerned employees, which refers to one or more investment vehicles (FCPE, company shares, SICAV, etc.) whose management is regulated by a portfolio management company on behalf of third parties.</w:t>
      </w:r>
    </w:p>
    <w:p>
      <w:r>
        <w:t>15. However, other salary savings mechanisms are found to fall under the insurance sector. Thus, Law No. 2003-775 of August 21, 2003, reforming pensions allows for the establishment of a complementary retirement savings mechanism from salary savings. In this regard, decision-making practice has recognized a market for supplementary retirement and retirement savings, which are forms of insurance in the event of life. After a certain number of years of contributions, the beneficiary (or their heirs in the event of death) receives a capital sum or an additional annuity to that which is paid under their mandatory retirement. The covered risk is the loss of income related to the transition from active life to retirement.</w:t>
      </w:r>
    </w:p>
    <w:p>
      <w:r>
        <w:t>16. In this case, the joint venture will be active in the segment of record-keeping and account custody of salary savings. It is therefore not necessary in the context of the notified operation to pronounce on a more precise delimitation of these markets, as whatever market delimitations are retained, the conclusions of the analysis remain unchanged.</w:t>
      </w:r>
    </w:p>
    <w:p>
      <w:r>
        <w:t>3. MARKETS FOR ASSET MANAGEMENT</w:t>
        <w:br/>
        <w:t>17. Humanis (via Inter Expansion) and FGF are active in the asset management sector, which falls under the banking sector. Within this sector, national and community authorities traditionally distinguish three categories of services:</w:t>
        <w:br/>
        <w:t>- banking services intended for individuals and households (retail banking);</w:t>
        <w:br/>
        <w:t>- banking services intended for businesses (commercial banking);</w:t>
        <w:br/>
        <w:t>- operations on financial markets (investment and financing banking) including asset management markets, mergers and acquisitions advisory, placement and underwriting activities related to the issuance of corporate securities, activities and transactions on financial markets, and activities on money markets.</w:t>
      </w:r>
    </w:p>
    <w:p>
      <w:r>
        <w:t>18. Regarding the asset management sector, national and community authorities have considered a segmentation according to the type of clientele (individuals, institutional and corporate clients, private clientele). Concerning asset management intended for institutional and corporate clients, a distinction has been considered between portfolio management activities, mutual fund management, and private equity:</w:t>
        <w:br/>
        <w:t>- portfolio management (excluding real estate assets and excluding UCITS) consists of optimizing the financial return of a portfolio of securities (stocks and/or bonds) held by a client;</w:t>
        <w:br/>
        <w:t>- mutual fund management of the UCITS type (which is divided into SICAV and FCP) is an activity that consists of managing, on behalf of companies and institutions, this type of collective investment fund;</w:t>
        <w:br/>
        <w:t>- private equity activity consists of an investor entering the capital of unlisted companies that need an equity injection. Several forms of intervention can be distinguished such as venture capital (financing the start-up of new companies), development capital, transmission capital (or LBO), and turnaround capital (restructuring a distressed company).</w:t>
      </w:r>
    </w:p>
    <w:p>
      <w:r>
        <w:t>19. In this case, the merger between FGF and Inter Expansion will allow Humanis to increase its activities in asset management for third parties (individualized management under mandate) and collective asset management (UCITS). This will therefore be taken into account in the competitive analysis regarding the relatedness between these activities and those of the joint venture.</w:t>
      </w:r>
    </w:p>
    <w:p>
      <w:r>
        <w:t>B. DELIMITATION OF GEOGRAPHICAL MARKETS</w:t>
        <w:br/>
        <w:t>20. National and community decision-making practice has considered that insurance markets, with the exception of certain insurances covering large-scale risks, are of national dimension given consumer preferences, the existence of national legislation and tax constraints, the current structure of these markets, or regulatory systems. The same applies to the salary savings market.</w:t>
      </w:r>
    </w:p>
    <w:p>
      <w:r>
        <w:rPr>
          <w:b/>
        </w:rPr>
        <w:t>[Pages 7–8]</w:t>
      </w:r>
    </w:p>
    <w:p>
      <w:r>
        <w:t>21. Regarding asset management, competition authorities consider that the markets have at least a national dimension. In this case, the analysis will be confined to the national territory.</w:t>
      </w:r>
    </w:p>
    <w:p>
      <w:r>
        <w:t>22. It is not necessary to further delineate the markets concerned by the notified operation, as whatever market delineations are adopted, the conclusions of the analysis remain unchanged.</w:t>
      </w:r>
    </w:p>
    <w:p>
      <w:r>
        <w:t>III. Competitive Analysis</w:t>
      </w:r>
    </w:p>
    <w:p>
      <w:r>
        <w:t>23. In the market segment of record-keeping and custodial accounts in employee savings, the notifying parties estimated the market share of their joint venture in 2012 to be around [0-5]%. The main competitors of the parties are the BPCE groups ([20-30]% market share), Crédit Agricole ([20-30]%), BNP Paribas ([10-20]%), CIC ([10-20]%), and Société Générale ([10-20]%).</w:t>
      </w:r>
    </w:p>
    <w:p>
      <w:r>
        <w:t>24. In the asset management market, Inter Expansion will manage assets valued at […] euros in a total market of approximately 2,599 billion euros in 2012, according to the estimate of the Financial Markets Authority. Inter Expansion will thus have an estimated market share of less than [0-5]%.</w:t>
      </w:r>
    </w:p>
    <w:p>
      <w:r>
        <w:t>25. In any case, given the limited market shares of the joint venture and Humanis in the markets examined above, it is unlikely that coordination between them would have a significant effect on those markets.</w:t>
      </w:r>
    </w:p>
    <w:p>
      <w:r>
        <w:t>26. Furthermore, the notifying parties will simultaneously be active in various markets in the insurance sector, namely the market for collective provident insurance and the markets for individual and collective supplementary health insurance, markets in which they will have a combined market share of less than [5-10]%, [5-10]%, and [5-10]%, respectively. Their combined market share remains sufficiently modest to eliminate the risks associated with coordination among the parent companies in these markets.</w:t>
      </w:r>
    </w:p>
    <w:p>
      <w:r>
        <w:t>27. In light of the above elements, the notified operation is not likely to harm competition in the relevant markets.</w:t>
      </w:r>
    </w:p>
    <w:p>
      <w:r>
        <w:t>DECIDES</w:t>
      </w:r>
    </w:p>
    <w:p>
      <w:r>
        <w:t>Sole Article: The operation notified under number 13-190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