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https://www.autoritedelaconcurrence.fr/fr/decision-de-controle-des-concentrations/relative-la-prise-de-controle-conjoint-de-transcosatal</w:t>
      </w:r>
    </w:p>
    <w:p>
      <w:r>
        <w:t>Pages translated : 8</w:t>
      </w:r>
    </w:p>
    <w:p/>
    <w:p>
      <w:r>
        <w:rPr>
          <w:b/>
        </w:rPr>
        <w:t>[Pages 1–3]</w:t>
      </w:r>
    </w:p>
    <w:p>
      <w:r>
        <w:t xml:space="preserve">FRENCH REPUBLIC  </w:t>
        <w:br/>
        <w:t xml:space="preserve">Decision No. 11-DCC-79 of May 16, 2011  </w:t>
        <w:br/>
        <w:t xml:space="preserve">regarding the joint control of Transcosatal Finances by  </w:t>
        <w:br/>
        <w:t>the companies Satar, Chabas, and STEF-TFE Transport</w:t>
      </w:r>
    </w:p>
    <w:p>
      <w:r>
        <w:t xml:space="preserve">The Competition Authority,  </w:t>
        <w:br/>
        <w:t xml:space="preserve">Having regard to the notification file submitted in full to the merger service on April 8, 2011,  </w:t>
        <w:br/>
        <w:t xml:space="preserve">regarding the joint control of Transcosatal Finances by the companies Satar, Chabas,  </w:t>
        <w:br/>
        <w:t xml:space="preserve">and STEF-TFE Transport, formalized by a memorandum of understanding dated March 22, 2011;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STEF-TFE Transport (hereinafter "STT") is a subsidiary of the STEF-TFE group, a cold logistics provider specialized in the logistics and transport of temperature-controlled products, both negative and positive. The services related to the transport of temperature-controlled products are carried out by STT, under the TFE brand for fresh and frozen food products and under the Tradimar brand for seafood products. The logistics services for temperature-controlled products are provided under the STEF brand. The STEF-TFE group is also active in the information systems sector, through its subsidiary Agrostar, and in the maritime transport sector via its subsidiary STIM d'Orbigny. STEF-TFE is jointly controlled by entities representing management (Atlantique Management), employees (Employee Investment Fund), and the Lemor family (UEF and SELF), these entities having no other participation.  </w:t>
        <w:br/>
        <w:t xml:space="preserve">2. Satar is a road transport company whose scope of activities covers, in addition to transport in the narrow sense, the activities of freight forwarder and charterer. Satar is notably active in temperature-controlled transport, particularly for the fruit and vegetable sector. Satar is indirectly controlled by Mr. Rémy and Mrs. Françoise Garnier through the companies International Service Conseil SARL and Hermes Investissement SAS.  </w:t>
        <w:br/>
        <w:t xml:space="preserve">3. Chabas is the parent company of a family group active in the transport and logistics sector of goods, specializing in temperature-controlled products.  </w:t>
        <w:br/>
        <w:t xml:space="preserve">4. Transcosatal Finances (hereinafter "TSFI"), through its subsidiaries, is active in the road transport of temperature-controlled goods and specializes in the transport of fruits and vegetables. TSFI was, prior to the present operation, exclusively controlled by the company SEA Invest, which held 65.65% of its capital, the remainder being held by STEF-TFE.  </w:t>
        <w:br/>
        <w:t xml:space="preserve">5. Under the terms of the memorandum of understanding dated March 22, 2011, STEF-TFE, Satar, and Chabas commit to forming a public limited company with a board of directors whose capital will be equally divided among the parent companies. The joint venture will acquire 100% of the shares of TSFI. The shares of TSFI currently held by STEF-TFE will be transferred to the joint company by way of asset contribution.  </w:t>
        <w:br/>
        <w:t xml:space="preserve">6. According to the memorandum of understanding, the board of directors of the joint company will consist of 4 members: one representative from each shareholder and a president who will be the current president of Satar. In accordance with the memorandum of understanding, the strategic decisions of the joint company must be made unanimously by the members of its board of directors. These strategic decisions will notably concern future acquisitions, investments, the development of the business plan, and the appointment/revocation of the general manager of the subsidiaries. In light of the above, it should be considered that following the notified operation, TSFI will be jointly controlled by STEF-TFE, Satar, and Chabas.  </w:t>
        <w:br/>
        <w:t>7. As it results in the joint control of Transcosatal Finances by the companies Satar, Chabas, and STEF-TFE Transport, the notified operation constitutes a concentration within the meaning of Article L. 430-1 of the Commercial Code. The concerned companies have together achieved a consolidated turnover excluding taxes on a global scale of more than 150 million euros in the last closed financial year (STEF-TFE: 1.98 billion euros for the financial year closed on December 31, 2009; Satar: 81 million euros for the financial year closed on March 31, 2010; Chabas: 82 million euros for the financial year closed on December 31, 2009; TSFI: 60 million euros for the same financial year). Each of these companies has achieved, in France, a turnover exceeding 50 million euros (STEF-TFE: 1.45 billion euros for the financial year closed on December 31, 2009; Satar: 81 million euros for the financial year closed on March 31, 2010; Chabas: 79 million euros for the financial year closed on December 31, 2009; TSFI: 59.8 million euros for the same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8. In view of the activities carried out by the parties, the present operation entails horizontal overlaps in the freight transport sector and more specifically in the market for temperature-controlled road transport.</w:t>
      </w:r>
    </w:p>
    <w:p>
      <w:r>
        <w:t>9. Furthermore, the STEF-TFE group is active in the logistics services markets that are connected to the freight transport activity. These markets will therefore be examined under the analysis of conglomerate effects.</w:t>
      </w:r>
    </w:p>
    <w:p>
      <w:r>
        <w:t xml:space="preserve">A. PRODUCT MARKETS  </w:t>
        <w:br/>
        <w:t xml:space="preserve">10. Competition authorities, both national and European, have distinguished the market for organizing freight transport on behalf of clients according to their needs ("freight forwarding") from that of the actual freight transport. In the first market, operators offer bundled service packages that may include, in addition to the transport itself, services such as customs clearance or warehousing. In the second, the services are limited to the physical movement of goods and the services necessary for this physical movement. The services do not include services such as warehousing, for example.  </w:t>
        <w:br/>
        <w:t>11. Furthermore, the Competition Authority has recalled that logistics services should not be confused with the organization of freight transport. Indeed, even if they may include freight transport services and ancillary services, logistics services are primarily focused on the management of flows.</w:t>
      </w:r>
    </w:p>
    <w:p>
      <w:r>
        <w:t xml:space="preserve">1. THE MARKETS FOR FREIGHT TRANSPORT  </w:t>
        <w:br/>
        <w:t xml:space="preserve">12. Decision-making practice considers that the different modes of freight transport are generally not substitutable for one another. The choice of a mode of transport is indeed constrained by certain factors such as the geographical location of the client or the nature of the goods transported. Furthermore, each mode of transport has specific characteristics related, in particular, to cost structures and transport duration. Thus, competition authorities distinguish between air transport, maritime transport, and land transport of goods, the latter being subdivided into transport by train, by road, by waterway, and by pipeline.  </w:t>
        <w:br/>
        <w:t xml:space="preserve">13. In this case, the parties are simultaneously active in the road transport sector. Moreover, STEF-TFE is also active in the maritime transport sector, which will be taken into account for the purposes of conglomerate effects.  </w:t>
        <w:br/>
        <w:t xml:space="preserve">14. Regarding more specifically the road transport of goods, competition authorities have considered several market segmentations, distinguishing between domestic transport and cross-border transport, based on the type of services offered, based on the mode of packaging of the transported products, or even based on the nature of the transported products.  </w:t>
        <w:br/>
        <w:t>15. The Authority has thus considered distinguishing domestic road transport from cross-border road transport of goods to the extent that the conditions of competition tend to differ.</w:t>
      </w:r>
    </w:p>
    <w:p>
      <w:r>
        <w:rPr>
          <w:b/>
        </w:rPr>
        <w:t>[Pages 4–6]</w:t>
      </w:r>
    </w:p>
    <w:p>
      <w:r>
        <w:t xml:space="preserve">be homogeneous within a given country, while cross-border transport generally involves the participation of operators from different countries, between which the conditions of competition are not necessarily similar5.  </w:t>
        <w:br/>
        <w:t xml:space="preserve">16. National decision-making practice has also considered a segmentation of road transport according to the type of services offered6. Four activities have thus been identified: (i) dedicated transport (which consists of renting trucks with drivers to shippers, who thus retain control over the organization of deliveries within a limited geographical area), (ii) full truckload road transport (the truck is chartered directly by shippers under contracts handled on an operation-by-operation basis), (iii) transport by batch or groups of batches (which consists of collecting products, possibly from several clients, in a defined geographical area, grouping them, and transporting them to recipients in the same region), and (iv) courier services (which consist of ensuring the transport of shipments made up of parcels weighing less than three tons, coming from different shippers and addressed to different recipients).  </w:t>
        <w:br/>
        <w:t xml:space="preserve">17. National decision-making practice has also considered distinguishing between road transport of packaged goods and that of bulk goods7.  </w:t>
        <w:br/>
        <w:t xml:space="preserve">18. Finally, competition authorities have delineated specific markets for certain particular products. They have notably noted the existence of markets for road transport of hazardous materials8 and for road transport of temperature-controlled goods9. In this case, the operation involves an overlap in the market for road transport of temperature-controlled goods, as all the companies involved are active in this sector.  </w:t>
        <w:br/>
        <w:t xml:space="preserve">19. Although they question the relevance of additional segmentation based on the category of products transported (fruits and vegetables, meat products, dairy products, etc.), the notifying parties have also proposed an analysis of the domestic and cross-border road transport markets for temperature-controlled fruits and vegetables since it is in the segment of road transport of fruits and vegetables that TSFI, Satar, and Chabas are primarily active.  </w:t>
        <w:br/>
        <w:t xml:space="preserve">20. In any case, in the absence of a competition issue, there is no need to challenge the delineations retained by decision-making practice in the context of the present operation.  </w:t>
        <w:br/>
        <w:t xml:space="preserve">2. THE MARKET FOR LOGISTICS SERVICES  </w:t>
        <w:br/>
        <w:t xml:space="preserve">21. National competition authorities have observed that logistics services connect the various links of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transport of goods at a time and place defined by the client10.  </w:t>
        <w:br/>
        <w:t xml:space="preserve">22. National decision-making practice has also recognized the existence of a market for logistics services related to "deep-frozen" products, distinct from other logistics services11. The "deep-frozen" category includes products that must be kept at negative controlled temperatures such as frozen products, deep-frozen products, and ice creams. "Deep-frozen" products differ from "fresh" products due to a much lower storage temperature (equal to or less than -12°C for frozen products or -18°C for deep-frozen products) and longer shelf lives that require specific techniques and expertise.  </w:t>
        <w:br/>
        <w:t xml:space="preserve">23. Following this decision-making practice, a distinct market for logistics services related to "fresh" products could also be considered. The "fresh" category includes products that must be kept at positive controlled temperatures, notably fruits and vegetables. The parties specify that the storage of fresh fruits and vegetables mainly occurs in specific contexts, namely: short-term storage (less than 24 hours) as part of the transport service; storage of fruits and vegetables to control the ripening process (notably imported or exotic fruits and vegetables, such as bananas) which is part of port handling activities; storage and packaging at the point of departure of transport as well as storage at the point of arrival of transport, which would be ensured by the clients of transport companies. In any case, in the absence of a competitive issue, the precise definition of the relevant market can be left open.  </w:t>
        <w:br/>
        <w:t xml:space="preserve">24. In this case, only STEF-TFE is notably active in the logistics services markets, particularly related to "fresh" and "deep-frozen" products12.  </w:t>
        <w:br/>
        <w:t xml:space="preserve">B. GEOGRAPHICAL DELIMITATION OF MARKETS  </w:t>
        <w:br/>
        <w:t xml:space="preserve">1. THE MARKETS FOR GOODS TRANSPORT  </w:t>
        <w:br/>
        <w:t xml:space="preserve">25. Decision-making practice13 generally considers that the markets for road transport of goods and their possible segments have a national dimension despite a trend towards Europeanization. There is no need to challenge this delimitation in the context of the present decision.  </w:t>
        <w:br/>
        <w:t xml:space="preserve">10 See notably the letters from the minister n°C2005-36 and n°C2005-110 mentioned above, as well as the decision of the Competition Authority n°09-DCC-13.  </w:t>
        <w:br/>
        <w:t xml:space="preserve">11 See the letter from the minister n°C2005-36 mentioned above.  </w:t>
        <w:br/>
        <w:t xml:space="preserve">12 The logistics activity of Satar is extremely marginal and corresponds to less than 2% of its turnover. Chabas is absent from this sector.  </w:t>
        <w:br/>
        <w:t xml:space="preserve">13 See notably the decision of the European Commission IV/M.1405 TNT Post Group/Jet Services dated February 15, 1999, the letter from the minister n°C2005-, and the decision of the Competition Authority n°09-DCC-13 mentioned above.  </w:t>
        <w:br/>
        <w:t xml:space="preserve">2. THE MARKET FOR LOGISTICS SERVICES  </w:t>
        <w:br/>
        <w:t xml:space="preserve">26. According to decision-making practice, the market for logistics services is of national dimension14. Specifically regarding the market for logistics services related to "deep-frozen" products, national competition authorities have retained a regional dimension15.  </w:t>
        <w:br/>
        <w:t xml:space="preserve">27. There is no need to challenge this delimitation in the context of the present decision.  </w:t>
        <w:br/>
        <w:t xml:space="preserve">III. Competitive Analysis  </w:t>
        <w:br/>
        <w:t xml:space="preserve">A. ANALYSIS OF HORIZONTAL EFFECTS  </w:t>
        <w:br/>
        <w:t xml:space="preserve">28. Regarding domestic road transport of temperature-controlled goods, according to the parties' estimates, the market shares in value and volume of the companies concerned are as follows16:  </w:t>
        <w:br/>
        <w:t xml:space="preserve">Value (in Volume in (k  </w:t>
        <w:br/>
        <w:t xml:space="preserve">Carrier Market Share in Value Market Share in Volume  </w:t>
        <w:br/>
        <w:t xml:space="preserve">millions of euros) tons)  </w:t>
        <w:br/>
        <w:t xml:space="preserve">STT […] [10-20] % […] [10-20] %  </w:t>
        <w:br/>
        <w:t xml:space="preserve">SATAR […] [0-5] % […] [0-5] %  </w:t>
        <w:br/>
        <w:t xml:space="preserve">CHABAS […] [0-5] % […] [0-5] %  </w:t>
        <w:br/>
        <w:t xml:space="preserve">TSFI […] [0-5] % […] [0-5] %  </w:t>
        <w:br/>
        <w:t xml:space="preserve">Subtotal 1,065.8 21.3 % 9,678 18.5 %  </w:t>
        <w:br/>
        <w:t xml:space="preserve">29. In the more restricted segment of domestic road transport of temperature-controlled fruits and vegetables, according to the parties' estimates, the market shares are as follows:  </w:t>
        <w:br/>
        <w:t xml:space="preserve">14 See notably the decision of the minister of economy C2005-110 and the decision of the European Commission COMP/M.2831 mentioned above.  </w:t>
        <w:br/>
        <w:t xml:space="preserve">15 See the letter from the minister n°C2005-36 mentioned above.  </w:t>
        <w:br/>
        <w:t>16 The market size in value is based on an estimate from the National Union of Refrigerated Transport (UNTF) for the year 2007. The parties indicated that they do not have more recent sources. They estimate that the market has remained relatively stable between 2007 and 2009 and that this data can be used as a basis for the year 2009. The market size in volume is based on a statistic from the Ministry of Ecology, Sustainable Development, Transport, and Housing (MEDDTL) relating to the year 2008 (survey on the use of vehicles for road transport of goods).</w:t>
      </w:r>
    </w:p>
    <w:p>
      <w:r>
        <w:rPr>
          <w:b/>
        </w:rPr>
        <w:t>[Pages 7–8]</w:t>
      </w:r>
    </w:p>
    <w:p>
      <w:r>
        <w:t xml:space="preserve">Value in Volume in kilograms  </w:t>
        <w:br/>
        <w:t xml:space="preserve">Carrier Market Share in Value Market Share in Volume  </w:t>
        <w:br/>
        <w:t xml:space="preserve">millions of euros tonnes  </w:t>
        <w:br/>
        <w:t xml:space="preserve">STT […] [0-5] % […] [0-5] %  </w:t>
        <w:br/>
        <w:t xml:space="preserve">SATAR […] [5-10] % […] [5-10] %  </w:t>
        <w:br/>
        <w:t xml:space="preserve">CHABAS […] [0-5] % […] [0-5] %  </w:t>
        <w:br/>
        <w:t xml:space="preserve">TSFI […] [5-10] % […] [5-10] %  </w:t>
        <w:br/>
        <w:t>Subtotal 171.8 20.1 % 3,252 16.5 %</w:t>
      </w:r>
    </w:p>
    <w:p>
      <w:r>
        <w:t>30. Following the proposed operation, the cumulative activity of each of the parent companies with the joint venture will remain below 19% in value and 16% in volume in the domestic road transport market for temperature-controlled goods. More specifically, regarding domestic road transport of temperature-controlled fruits and vegetables, the market share of each of the parent companies and the joint subsidiary will be even lower.</w:t>
      </w:r>
    </w:p>
    <w:p>
      <w:r>
        <w:t>31. The parties have also communicated their positions regarding cross-border transport of temperature-controlled goods. In this segment, according to the estimates provided, each of the parent companies will hold, together with the joint venture, a market share of less than 16% following the operation.</w:t>
      </w:r>
    </w:p>
    <w:p>
      <w:r>
        <w:t>32. The joint venture will thus continue to face competition from numerous companies in the markets for road transport of temperature-controlled goods, including, in particular, Delanchy, Nobert Dentressangle, STG, and Ebrex France.</w:t>
      </w:r>
    </w:p>
    <w:p>
      <w:r>
        <w:t>33. Given these elements, the present operation is not likely to harm competition in the markets for road transport of temperature-controlled goods through horizontal effects.</w:t>
      </w:r>
    </w:p>
    <w:p>
      <w:r>
        <w:t>34. Finally, considering the moderate position of STEF-TFE, Satar, and Chabas, the operation is not likely to harm competition in the markets for road transport of temperature-controlled goods due to a risk of coordination of the behavior of the parent companies in this market. Indeed, once the concentration is completed, they will together hold a market share of less than 22% in value and 19% in volume, regardless of the market segment considered.</w:t>
      </w:r>
    </w:p>
    <w:p>
      <w:r>
        <w:t>B. ANALYSIS OF CONGLOMERATE EFFECTS</w:t>
      </w:r>
    </w:p>
    <w:p>
      <w:r>
        <w:t>35. Following the operation, STEF-TFE will strengthen its presence in the markets for road transport of temperature-controlled goods. However, the STEF-TFE group is also active in the logistics markets and, to a lesser extent, in the maritime transport market for goods (this activity representing [0-5]% of its turnover).</w:t>
      </w:r>
    </w:p>
    <w:p>
      <w:r>
        <w:t>36. The STEF-TFE group thus generates […] million euros in logistics services, accounting for approximately [10-20]% of its total turnover, including approximately […] million euros for "cold chain" logistics (warehousing under negative temperature control) and […] million euros for "fresh" logistics (warehousing under positive temperature control). The activity of "fresh" logistics in France is estimated by STEF-TFE to be 1.6 billion euros, of which 414 million euros correspond to outsourced services (the remainder being performed internally by sector players). According to its estimates, STEF-TFE thus holds a market share of [30-40]% regarding logistics services for "fresh" products. However, the STEF-TFE group specifies that it does not currently offer warehousing services for fresh fruits and vegetables, nor warehousing services for fruits and vegetables to control the ripening process.</w:t>
      </w:r>
    </w:p>
    <w:p>
      <w:r>
        <w:t>37. STEF-TFE further indicates that clients in the agri-food industry generally launch separate calls for tenders for logistics services and transport services. Consequently, only [10-20]% of STEF-TFE's transport service clients also use its logistics services.</w:t>
      </w:r>
    </w:p>
    <w:p>
      <w:r>
        <w:t>38. Finally, it should be noted that, even though the joint control of TSFI strengthens STEF-TFE's presence in the markets for road transport of temperature-controlled goods, this strengthening remains marginal, given the low market share held by the target.</w:t>
      </w:r>
    </w:p>
    <w:p>
      <w:r>
        <w:t>39. The present operation is therefore not likely to harm competition in the goods transport sector through conglomerate effects.</w:t>
      </w:r>
    </w:p>
    <w:p>
      <w:r>
        <w:t xml:space="preserve">DECIDES  </w:t>
        <w:br/>
        <w:t xml:space="preserve">Sole Article: The operation notified under number 11-0044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