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https://www.autoritedelaconcurrence.fr/fr/decision-de-controle-des-concentrations/relative-la-prise-de-controle-conjoint-des-actifs-des</w:t>
      </w:r>
    </w:p>
    <w:p>
      <w:r>
        <w:t>Pages translated : 2</w:t>
      </w:r>
    </w:p>
    <w:p/>
    <w:p>
      <w:r>
        <w:rPr>
          <w:b/>
        </w:rPr>
        <w:t>[Pages 1–2]</w:t>
      </w:r>
    </w:p>
    <w:p>
      <w:r>
        <w:t xml:space="preserve">FRENCH REPUBLIC  </w:t>
        <w:br/>
        <w:t xml:space="preserve">Decision No. 19-DCC-236 of December 4, 2019  </w:t>
        <w:br/>
        <w:t xml:space="preserve">regarding the joint control acquisition of the assets of the companies  </w:t>
        <w:br/>
        <w:t xml:space="preserve">Financière de Corton, AltéAd Management, and AltéAd Industries Est  </w:t>
        <w:br/>
        <w:t xml:space="preserve">by the companies Capelle Investissements and Mediaco Levage  </w:t>
        <w:br/>
        <w:t xml:space="preserve">The Competition Authority,  </w:t>
        <w:br/>
        <w:t xml:space="preserve">Having regard to the notification file sent to the mergers department on June 25, 2019, and declared complete on October 28, 2019, concerning the joint control acquisition of the assets of the companies Financière de Corton, AltéAd Management, and AltéAd Industries Est by the companies Capelle Investissements and Mediaco Levage, formalized by the takeover bids dated June 21, 2019, and the judgments of the Paris Commercial Court dated July 25, 2019;  </w:t>
        <w:br/>
        <w:t xml:space="preserve">Having regard to Book IV of the Commercial Code relating to the freedom of prices and competition, and in particular its Articles L. 430-1 to L. 430-7;  </w:t>
        <w:br/>
        <w:t xml:space="preserve">Adopts the following decision:  </w:t>
        <w:br/>
        <w:t xml:space="preserve">1. The operation consists of the joint control acquisition of the assets of the companies Financière de Corton, AltéAd Management, and AltéAd Industries Est by the Mediaco and Capelle groups, through the establishment of two joint ventures: the assets of the companies Financière de Corton SAS and AltéAd Management SAS will be controlled by the company Meca Management, and the company AltéAd Industries Est SAS will be controlled by the company Meca Industries. The statutes of Meca Management and Meca Industries provide that they will be jointly controlled by the Mediaco and Capelle groups.  </w:t>
        <w:br/>
        <w:t xml:space="preserve">2. In practice, only the acquisition of the assets of the company AltéAd Industries Est SAS constitutes a concentration operation within the meaning of Article L. 430-1 of the Commercial Code. Given that the acquisition of the assets of the three companies is illustrated by three indivisible offers, these will be analyzed as a single concentration operation.  </w:t>
        <w:br/>
        <w:t xml:space="preserve">3. Considering the turnover achieved by the companies concerned,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  </w:t>
        <w:br/>
        <w:t xml:space="preserve">4. The markets concerned by the operation are those of engineering services, which are consistently defined by the decision-making practice of the Competition Authority.  </w:t>
        <w:br/>
        <w:t xml:space="preserve">5. Regardless of the segmentations retained, the combined market shares of the parties are below 25%.  </w:t>
        <w:br/>
        <w:t xml:space="preserve">6. Considering the elements of the file and in particular point 384 of the guidelines of the Competition Authority relating to the control of concentrations, the operation is not likely to harm competition.  </w:t>
        <w:br/>
        <w:t xml:space="preserve">DECIDES  </w:t>
        <w:br/>
        <w:t xml:space="preserve">Sole Article: The operation notified under number 19-163 is authorized.  </w:t>
        <w:br/>
        <w:t xml:space="preserve">The President,  </w:t>
        <w:br/>
        <w:t xml:space="preserve">Isabelle de Silva  </w:t>
        <w:br/>
        <w:t xml:space="preserve">© Competition Authority  </w:t>
        <w:br/>
        <w:t xml:space="preserve">1 The Mediaco group is also present in the lifting and handling markets. Furthermore, the Capelle group is also active in the road transport of goods markets. Finally, both parent companies are marginally active (less than 5% market share combined) in the logistics markets. In any case, regardless of the market shares of the parties in these markets, the operation only modifies the positions of the parties in the engineering services markets, and this modification is only marginal in relation to the market shares, any harm to competition through conglomerate effects can be ruled out.  </w:t>
        <w:br/>
        <w:t>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