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https://www.autoritedelaconcurrence.fr/fr/decision-de-controle-des-concentrations/relative-la-prise-de-controle-conjoint-des-fonds-de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24-DCC-290 of December 20, 2024  </w:t>
        <w:br/>
        <w:t xml:space="preserve">regarding the joint control acquisition of the business assets of the  </w:t>
        <w:br/>
        <w:t xml:space="preserve">company Auchan Supermarché operating a supermarket in Hayange and  </w:t>
        <w:br/>
        <w:t xml:space="preserve">the company Parea by the company Hayandis alongside the Association  </w:t>
        <w:br/>
        <w:t xml:space="preserve">des Centres Distributeurs E. Leclerc  </w:t>
        <w:br/>
        <w:t xml:space="preserve">The Competition Authority,  </w:t>
        <w:br/>
        <w:t xml:space="preserve">Having regard to the complete notification file sent to the mergers department on December 5, 2024,  </w:t>
        <w:br/>
        <w:t xml:space="preserve">concerning the joint control acquisition of the business assets of the company Auchan Supermarché  </w:t>
        <w:br/>
        <w:t xml:space="preserve">operating a supermarket in Hayange and the company Parea by the company Hayandis alongside  </w:t>
        <w:br/>
        <w:t xml:space="preserve">the Association des Centres Distributeurs E. Leclerc ("ACDLec"), formalized by a  </w:t>
        <w:br/>
        <w:t xml:space="preserve">transfer promise dated November 25, 2024;  </w:t>
        <w:br/>
        <w:t xml:space="preserve">Having regard to Book IV of the Commercial Code relating to price and competition freedom,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Hayandis of the business assets of  </w:t>
        <w:br/>
        <w:t xml:space="preserve">the company Auchan Supermarché operating a supermarket with a sales area of approximately  </w:t>
        <w:br/>
        <w:t xml:space="preserve">2,225 m² in Hayange (57) as well as the business assets of the service station of the company Parea,  </w:t>
        <w:br/>
        <w:t xml:space="preserve">located near the supermarket. Given the draft sponsorship contract submitted,  </w:t>
        <w:br/>
        <w:t xml:space="preserve">ACDLec will exercise a decisive influence over the target business assets and, in this respect,  </w:t>
        <w:br/>
        <w:t xml:space="preserve">will hold joint control over them, alongside the company Hayandis.  </w:t>
        <w:br/>
        <w:t xml:space="preserve">The operation constitutes a concentration within the meaning of Article L. 430-1 of the Commercial Code.  </w:t>
        <w:br/>
        <w:t xml:space="preserve">Considering the turnover generated by the companies involved,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24-315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