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https://www.autoritedelaconcurrence.fr/fr/decision-de-controle-des-concentrations/relative-la-prise-de-controle-conjoint-des-groupes-simon-et</w:t>
      </w:r>
    </w:p>
    <w:p>
      <w:r>
        <w:t>Pages translated : 9</w:t>
      </w:r>
    </w:p>
    <w:p/>
    <w:p>
      <w:r>
        <w:rPr>
          <w:b/>
        </w:rPr>
        <w:t>[Pages 1–3]</w:t>
      </w:r>
    </w:p>
    <w:p>
      <w:r>
        <w:t xml:space="preserve">FRENCH REPUBLIC  </w:t>
        <w:br/>
        <w:t xml:space="preserve">Decision No. 15-DCC-180 of December 21, 2015  </w:t>
        <w:br/>
        <w:t xml:space="preserve">regarding the joint control of the Simon and Chouteau groups  </w:t>
        <w:br/>
        <w:t>by the Simon and Chouteau partners</w:t>
      </w:r>
    </w:p>
    <w:p>
      <w:r>
        <w:t xml:space="preserve">The Competition Authority,  </w:t>
        <w:br/>
        <w:t xml:space="preserve">Having regard to the notification file sent to the merger service on November 6, 2015, and declared complete on December 1, 2015, concerning the joint control of the Simon and Chouteau groups by the Simon and Chouteau partners, formalized by a memorandum of understanding dated October 26, 2015;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members of the Simon family (hereinafter, the "Simon partners") are the current majority shareholders of Holding Simon, the company at the head of the Simon group. The Simon group is active, primarily in the West of France, in the distribution of tires, spare parts, and automotive accessories as well as in the maintenance and repair services of motor vehicles.  </w:t>
        <w:br/>
        <w:t xml:space="preserve">2. The members of the Chouteau family (hereinafter, the "Chouteau partners") indirectly control the company Etablissements Michel Chouteau, which is itself at the head of the Chouteau group. The Chouteau group is also active, primarily in the West of France, in the distribution of tires, spare parts, and automotive accessories as well as in the maintenance and repair services of motor vehicles.  </w:t>
        <w:br/>
        <w:t>1 Control is exercised through three civil companies that are shareholders of SA Etablissements Michel Chouteau (Dominique Chouteau Finance, Chantal Chouteau Finance, and Marie-Christine Billaud Finance).</w:t>
      </w:r>
    </w:p>
    <w:p>
      <w:r>
        <w:t xml:space="preserve">3. The operation, formalized by a memorandum of understanding dated October 26, 2015, will take place in three stages:  </w:t>
        <w:br/>
        <w:t xml:space="preserve">- In the first stage, by no later than December 31, 2015, the company Holding Simon will acquire 51% of the shares of the company Etablissements Michel Chouteau;  </w:t>
        <w:br/>
        <w:t xml:space="preserve">- In the second stage, between March 31 and June 30, 2017, the Chouteau partners will contribute the remaining 49% minus one share to Holding Simon, in exchange for the allocation of 17% of the latter's shares. At the end of this stage, Holding Simon, heading the new entity composed of the Simon group and the Chouteau group, will thus be owned 83% by the Simon partners and 17% by the Chouteau partners. The shareholders' agreement provides [confidential]. Considering the composition and the rules related to decision-making within the strategic committee, the Simon partners and the Chouteau partners will hold joint control over the new entity;  </w:t>
        <w:br/>
        <w:t xml:space="preserve">- In the third stage, [confidential].  </w:t>
        <w:br/>
        <w:t xml:space="preserve">4. A concentration operation is deemed to be realized only if it results in a lasting change in the control of the concerned company. Thus, similar to the consolidated jurisdictional communication of the European Commission, "the question of to what extent an operation leads to a lasting change in the structure of the market must also be taken into account to assess a series of operations of which the first is only of a transitional nature."2 By reference to the consolidated communication, the Competition Authority indicates in its guidelines that it "retains two conditions to assess whether a transitional operation constitutes a lasting change in control. On the one hand, the transitional nature of the operation must be agreed upon among the various acquirers in a legally binding manner, and, on the other hand, there must be no doubt regarding the promptness of the second stage."3 The European Commission adds that "when these conditions are not met, particularly if there is doubt regarding the promptness of the second stage after the first acquisition, the Commission considers the first operation as a distinct concentration."4  </w:t>
        <w:br/>
        <w:t xml:space="preserve">5. In this regard, the consolidated communication specifically mentions the scenario of an operation leading to joint control during a start-up period but converted, under legally binding agreements, into exclusive control exercised by one of the shareholders. The European Commission considers that "given that joint control may not constitute a lasting change in control, the entire operation may be regarded as an acquisition of exclusive control. In the past, the Commission has accepted that these start-up periods could last up to three years. Such a period seems too long to exclude the influence of joint control on the market structure. The period in question should therefore, in general, not exceed one year and the period of joint control should only be of a transitional nature. Only such a relatively short time frame will ensure that the period of joint control is unlikely to have a particular impact on the market structure and can thus be considered as not leading to a lasting change in control."5  </w:t>
        <w:br/>
        <w:t xml:space="preserve">2 Consolidated communication on the competence of the Commission under Council Regulation (EC) No. 139/2004 on the control of concentrations between undertakings, point 29.  </w:t>
        <w:br/>
        <w:t xml:space="preserve">3 Guidelines of the Competition Authority regarding the control of concentrations, point 72.  </w:t>
        <w:br/>
        <w:t xml:space="preserve">4 Consolidated communication on the competence of the Commission under Council Regulation (EC) No. 139/2004 on the control of concentrations between undertakings, point 33.  </w:t>
        <w:br/>
        <w:t>5 Above-mentioned consolidated communication, point 34.</w:t>
      </w:r>
    </w:p>
    <w:p>
      <w:r>
        <w:t xml:space="preserve">6. In this case, if the transitional nature of the operation is agreed upon by the parties in a legally binding manner, it should be noted that the implementation of the third stage can only be established with certainty between January 1, 2023, and December 31, 2033, in accordance with the contractual stipulations. It follows from the above that the exercise by the Simon and Chouteau partners of a decisive influence over Holding Simon for a significant duration before an exclusive control cannot be considered, in terms of concentration control, as purely transitional but constitutes a lasting change in the control of Holding Simon, due to the lack of promptness in the implementation of the envisaged third stage.  </w:t>
        <w:br/>
        <w:t xml:space="preserve">7. As it results in the joint control of the Simon and Chouteau groups by the Simon and Chouteau partners, the notified operation constitutes a concentration operation within the meaning of Article L. 430-1 of the Commercial Code.  </w:t>
        <w:br/>
        <w:t>8. The concerned companies have jointly achieved a consolidated turnover excluding taxes worldwide of more than 150 million euros (Holding Simon: […] euros for the fiscal year ending March 31, 2015; Etablissements Michel Chouteau: […] euros for the fiscal year ending December 31, 2014). Each of these companies has achieved, in France, a turnover exceeding 50 million euros (Holding Simon: […] euros for the same fiscal year; Etablissements Michel Chouteau: […] euros for the same fiscal year). Given the turnover of the concerned companies, the operation does not fall under the competence of the European Union. On the other hand, the control thresholds mentioned in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9. The parties are simultaneously active in the wholesale and retail distribution sector of replacement tires, the distribution of spare parts and automotive accessories, and the maintenance and repair services of motor vehicles.  </w:t>
        <w:br/>
        <w:t xml:space="preserve">A. THE MARKETS FOR WHOLESALE DISTRIBUTION OF REPLACEMENT TIRES  </w:t>
        <w:br/>
        <w:t xml:space="preserve">10. In its decision-making practice, the Competition Authority has considered, while leaving the question open, defining an intermediate market for wholesale distribution of replacement tires, distinct from the upstream market of manufacturing and the downstream market of retail distribution, due to the significant number of wholesalers purchasing tires from manufacturers to resell to retailers.6 The Authority has also considered that it is appropriate to segment this market by type of vehicle: (i) passenger vehicles  </w:t>
        <w:br/>
        <w:t>6 See in particular the decisions of the Competition Authority No. 10-DCC-149 of October 26, 2010, regarding the joint control of the company TyreDating by the French Tire Manufacturer Michelin and Atiro Holding, No. 14-DCC-169 of November 17, 2014, regarding the exclusive control of the company IHLE Holding AG by Michelin Finanz Gesellschaft für Beteiligungen AG &amp; OGH, and No. 15-DCC-76 of June 30, 2015, regarding the joint control of the company Allopneus by the Michelin group and the company Hevea.</w:t>
      </w:r>
    </w:p>
    <w:p>
      <w:r>
        <w:rPr>
          <w:b/>
        </w:rPr>
        <w:t>[Pages 4–6]</w:t>
      </w:r>
    </w:p>
    <w:p>
      <w:r>
        <w:t>tourism and vans, (ii) trucks and buses, (iii) agricultural machinery, (iv) construction and civil engineering machinery, (v) non-motorized two-wheelers, and (vi) motorized two-wheelers.</w:t>
      </w:r>
    </w:p>
    <w:p>
      <w:r>
        <w:t>11. In this case, the parties are simultaneously active in the wholesale distribution market for replacement tires for passenger vehicles and vans. They distribute almost exclusively new tires and, incidentally, retreaded tires.</w:t>
      </w:r>
    </w:p>
    <w:p>
      <w:r>
        <w:t>12. There is no need to challenge this delimitation on the occasion of the present operation.</w:t>
      </w:r>
    </w:p>
    <w:p>
      <w:r>
        <w:t>13. Regarding the geographical delimitation of the markets, the Authority has left the exact definition of the market open and conducted its competitive analysis at the national level. The Commission has also left the question of the exact definition of the geographical market open while conducting its competitive analysis at the European and national levels.</w:t>
      </w:r>
    </w:p>
    <w:p>
      <w:r>
        <w:t>14. The question of the exact definition of this market can be left open insofar as, regardless of the definitions adopted, the conclusions of the competitive analysis will remain unchanged.</w:t>
      </w:r>
    </w:p>
    <w:p>
      <w:r>
        <w:t>B. THE DISTRIBUTION MARKETS</w:t>
      </w:r>
    </w:p>
    <w:p>
      <w:r>
        <w:t>1. THE RETAIL DISTRIBUTION OF REPLACEMENT TIRES</w:t>
      </w:r>
    </w:p>
    <w:p>
      <w:r>
        <w:t>a) Product Markets</w:t>
      </w:r>
    </w:p>
    <w:p>
      <w:r>
        <w:t>15. Regarding the distribution of tires, decision-making practice distinguishes the supply of original equipment tires (also known as "first fit") from that of replacement tires. Indeed, although these products are identical, they are not intended for the same customers, nor distributed through the same channels. Original equipment tires correspond to the tires placed on new vehicles, generally sold directly by manufacturers to automobile manufacturers. In contrast, replacement tires concern purchases made by vehicle users from intermediaries.</w:t>
      </w:r>
    </w:p>
    <w:p>
      <w:r>
        <w:t>16. Furthermore, decision-making practice has considered that new replacement tires and "retreaded" tires constitute two distinct markets. Indeed, replacement tires are not necessarily new: when the casings of used tires are still in good condition, it is possible to equip them with a new tread, a process known as "retreading." The retreading market thus presents itself as an after-sales service market in relation to the new tire market. In practice, the needs for retreading concern almost exclusively tires for heavy vehicles. Retreading can be performed by tire manufacturers themselves, but also by a large number of specialized companies.</w:t>
      </w:r>
    </w:p>
    <w:p>
      <w:r>
        <w:t>17. In this case, the parties are simultaneously present in the markets for the distribution of new replacement tires and the distribution of retreaded replacement tires. They do not engage in the supply of original equipment tires.</w:t>
      </w:r>
    </w:p>
    <w:p>
      <w:r>
        <w:t>18. Within the replacement tires, decision-making practice distinguishes several markets according to the types of vehicles ((i) passenger vehicles and vans, (ii) trucks and buses, (iii) agricultural machinery, (iv) construction and civil engineering machinery, (v) non-motorized two-wheelers, and (vi) motorized two-wheelers) and the modes of distribution. Thus, for example, the distribution of tires for passenger vehicles and vans can occur via (i) the channel of specialist dealers (such as Euromaster, Vulco, First Stop, Point S, or Eurotyre), (ii) the channel of auto centers (such as Norauto, Feu Vert, Speedy), and (iii) the channel of dealers and automobile garages. Alongside these traditional channels, online sales are developing, either through the websites of traditional distributors or through pure players, active only online, such as Allopneus, 1001pneus, or 123pneus. These sites allow consumers to purchase their tire models online and have them delivered directly to, among others, an authorized mounting location (garage, auto center, etc.).</w:t>
      </w:r>
    </w:p>
    <w:p>
      <w:r>
        <w:t>19. The competition authorities have also considered, while leaving the question open, the possibility of distinguishing retreaded tires according to the retreading technique. There are indeed two techniques: the hot retreading process (which involves placing a new tread on the tire casing, which is then molded in the factory and at high temperature) and the cold retreading process (which involves placing a pre-molded tread, coming from an external supplier, on the tire casing).</w:t>
      </w:r>
    </w:p>
    <w:p>
      <w:r>
        <w:t>20. In this case, the parties are simultaneously active in the distribution of new replacement tires for passenger vehicles and vans, trucks and buses, agricultural machinery, construction and civil engineering machinery, as well as motorized two-wheelers within the channel of specialist dealers. They distribute tires only at physical points of sale.</w:t>
      </w:r>
    </w:p>
    <w:p>
      <w:r>
        <w:t>21. The parties are also simultaneously active in the distribution of retreaded replacement tires only in the segment of trucks and buses within the channel of specialist dealers and distribute their tires at physical points of sale.</w:t>
      </w:r>
    </w:p>
    <w:p>
      <w:r>
        <w:t>22. The question of the exact delimitation of the retail distribution market for tires can be left open, insofar as, regardless of the definition adopted, the conclusions of the competitive analysis will remain unchanged. In this case, the competitive analysis will be conducted without taking into account online sales, the most unfavorable situation for the parties.</w:t>
      </w:r>
    </w:p>
    <w:p>
      <w:r>
        <w:t>b) Geographical Markets</w:t>
      </w:r>
    </w:p>
    <w:p>
      <w:r>
        <w:t>23. Decision-making practice, while leaving the question open, has considered that the markets for the distribution of replacement tires have a national dimension. However, the Competition Authority has contemplated a local dimension of this market while leaving the question open.</w:t>
      </w:r>
    </w:p>
    <w:p>
      <w:r>
        <w:t>24. The question of the exact delineation of the geographical market can, however, be left open, insofar as, regardless of the definition adopted, the conclusions of the competitive analysis will remain unchanged.</w:t>
      </w:r>
    </w:p>
    <w:p>
      <w:r>
        <w:t>2. THE DISTRIBUTION OF SPARE PARTS AND AUTOMOTIVE ACCESSORIES, AND THE MAINTENANCE AND REPAIR SERVICES OF MOTOR VEHICLES</w:t>
      </w:r>
    </w:p>
    <w:p>
      <w:r>
        <w:t>25. In the automotive distribution sector, decision-making practice notably distinguishes: (i) the distribution of spare parts and automotive accessories and (ii) the distribution of maintenance and repair services of motor vehicles.</w:t>
      </w:r>
    </w:p>
    <w:p>
      <w:r>
        <w:t>26. In this case, the parties are simultaneously active in the markets for the distribution of spare parts and automotive accessories and the distribution of maintenance and repair services of motor vehicles.</w:t>
      </w:r>
    </w:p>
    <w:p>
      <w:r>
        <w:t>27. There is no need to challenge this delimitation on the occasion of the present operation.</w:t>
      </w:r>
    </w:p>
    <w:p>
      <w:r>
        <w:t>28. Regarding the geographical delimitation of the markets, decision-making practice retains a local definition, with the analysis generally conducted at the departmental level.</w:t>
      </w:r>
    </w:p>
    <w:p>
      <w:r>
        <w:t>29. In any case, the question of the exact delineation of the geographical market can be left open, insofar as, regardless of the definition adopted, the conclusions of the competitive analysis will remain unchanged.</w:t>
      </w:r>
    </w:p>
    <w:p>
      <w:r>
        <w:t>III. Competitive Analysis</w:t>
      </w:r>
    </w:p>
    <w:p>
      <w:r>
        <w:t>30. The parties are simultaneously active in the wholesale and retail markets for replacement tires as well as in the markets for the distribution of spare parts and automotive accessories and the distribution of maintenance and repair services of motor vehicles.</w:t>
      </w:r>
    </w:p>
    <w:p>
      <w:r>
        <w:t>1. ON THE WHOLESALE MARKET FOR REPLACEMENT TIRES</w:t>
      </w:r>
    </w:p>
    <w:p>
      <w:r>
        <w:t>31. The parties are simultaneously active only in the matter of replacement tires for passenger vehicles and vans. They distribute almost exclusively new tires and, incidentally, retreaded tires.</w:t>
      </w:r>
    </w:p>
    <w:p>
      <w:r>
        <w:t>32. In this market, the notifying parties estimate that they represent less than 15% of sales, regardless of the segmentation adopted. Furthermore, the new entity will face competition from numerous operators including Euromaster/Allopneus, Districash, and Pneus Leader, the market leaders.</w:t>
      </w:r>
    </w:p>
    <w:p>
      <w:r>
        <w:rPr>
          <w:b/>
        </w:rPr>
        <w:t>[Pages 7–9]</w:t>
      </w:r>
    </w:p>
    <w:p>
      <w:r>
        <w:t>33. Consequently, the present operation is not likely to harm competition through horizontal effects in the wholesale distribution market for replacement tires.</w:t>
      </w:r>
    </w:p>
    <w:p>
      <w:r>
        <w:t>2. ON THE RETAIL MARKET FOR REPLACEMENT TIRES</w:t>
      </w:r>
    </w:p>
    <w:p>
      <w:r>
        <w:t>34. The parties are simultaneously active in the retail distribution of new replacement tires and retreaded replacement tires.</w:t>
      </w:r>
    </w:p>
    <w:p>
      <w:r>
        <w:t>a) On the retail market for new replacement tires</w:t>
      </w:r>
    </w:p>
    <w:p>
      <w:r>
        <w:t>35. The parties distribute their tires exclusively through physical points of sale with a network of 81 points of sale.</w:t>
      </w:r>
    </w:p>
    <w:p>
      <w:r>
        <w:t>36. At the national level, the notifying parties estimate that the combined market share of the new entity, across all vehicles and all distribution channels combined (excluding online sales), will amount to [0-5] %.</w:t>
      </w:r>
    </w:p>
    <w:p>
      <w:r>
        <w:t>37. In the event of segmentation by type of vehicle, the combined market shares of the parties will remain below 15%, except for the segment of tires for construction and civil engineering machinery, where the combined market share of the parties will reach [10-20] %, with the operation resulting in a market share increment of [5-10] %. The parties will also continue to face competition from numerous operators including Euromaster, First Stop, and GCS (Génie Civil Services).</w:t>
      </w:r>
    </w:p>
    <w:p>
      <w:r>
        <w:t>38. In the event of segmentation by distribution channel, the parties are only active in the specialist dealer channel, and their combined market share will amount to [0-5] % in the overall market. When distinguishing by type of vehicle, the combined market shares of the parties will remain below 20%.</w:t>
      </w:r>
    </w:p>
    <w:p>
      <w:r>
        <w:t>39. At the departmental level, the activities of the parties overlap in the departments of Charente (two points of sale of the Simon group and one point of sale of the Chouteau group) and Loire-Atlantique (five points of sale of the Simon group and four points of sale of the Chouteau group).</w:t>
      </w:r>
    </w:p>
    <w:p>
      <w:r>
        <w:t>40. The parties indicate that they are unable to calculate the market shares of the various points of sale in more restricted areas. However, the number of points of sale of the parties will be limited in each department, and the parties will face competition from numerous points of sale operated by large specialized dealer brands (notably Point S, Euromaster, and First Stop) as well as auto centers (Norauto, Feu Vert, Speedy).</w:t>
      </w:r>
    </w:p>
    <w:p>
      <w:r>
        <w:t>41. Consequently, the present operation is not likely to harm competition through horizontal effects in the retail distribution market for new replacement tires.</w:t>
      </w:r>
    </w:p>
    <w:p>
      <w:r>
        <w:t>b) On the retail market for retreaded replacement tires</w:t>
      </w:r>
    </w:p>
    <w:p>
      <w:r>
        <w:t>42. The parties are also simultaneously active in the distribution of retreaded replacement tires solely in the truck and bus segment. They distribute retreaded replacement tires exclusively through physical points of sale within the specialist dealer channel.</w:t>
      </w:r>
    </w:p>
    <w:p>
      <w:r>
        <w:t>43. At the national level, the notifying parties estimate that the combined market share of the parties will amount to [5-10] % in the market for the sale of retreaded replacement tires for trucks and buses by specialist dealers. In the event of segmentation by retreading technique, the parties estimate that the combined market share will amount to [5-10] % in the hot retreaded tire segment and [5-10] % in the cold retreaded tire segment.</w:t>
      </w:r>
    </w:p>
    <w:p>
      <w:r>
        <w:t>44. At the departmental level, the activities of the parties overlap in the departments of Charente (two points of sale of the Simon group and one point of sale of the Chouteau group) and Loire-Atlantique (five points of sale of the Simon group and four points of sale of the Chouteau group). The parties indicate that they are unable to calculate the market shares of the various points of sale in more restricted areas. However, the number of points of sale of the parties will be limited in each department following the operation, and they will face competition from manufacturers and their subsidiaries (Pneus Laurent, a subsidiary of Michelin; SLBR, a subsidiary of Bridgestone; Next Tread, a subsidiary of Goodyear Dunlop Tires) as well as from other specialist dealers (notably Point S, Euromaster, Siligom, and First Stop).</w:t>
      </w:r>
    </w:p>
    <w:p>
      <w:r>
        <w:t>45. Consequently, the present operation is not likely to harm competition through horizontal effects in the retail distribution market for retreaded replacement tires.</w:t>
      </w:r>
    </w:p>
    <w:p>
      <w:r>
        <w:t>3. ON THE MARKETS FOR THE DISTRIBUTION OF SPARE PARTS AND AUTOMOTIVE ACCESSORIES AND FOR THE DISTRIBUTION OF MAINTENANCE AND REPAIR SERVICES FOR MOTOR VEHICLES</w:t>
      </w:r>
    </w:p>
    <w:p>
      <w:r>
        <w:t>46. The parties are simultaneously active in the markets for the distribution of spare parts and automotive accessories and for the distribution of maintenance and repair services for motor vehicles.</w:t>
      </w:r>
    </w:p>
    <w:p>
      <w:r>
        <w:t>47. At the national level, the combined market share of the parties will be less than 1% in these two markets.</w:t>
      </w:r>
    </w:p>
    <w:p>
      <w:r>
        <w:t>48. At the departmental level, the activities of the parties overlap in the departments of Charente (two points of sale of the Simon group and one point of sale of the Chouteau group) and Loire-Atlantique (five points of sale of the Simon group and four points of sale of the Chouteau group). The parties estimate that the combined market share will remain below 5% in these two markets in the departments of Charente and Loire-Atlantique.</w:t>
      </w:r>
    </w:p>
    <w:p>
      <w:r>
        <w:t>49. Consequently, the present operation is not likely to harm competition through horizontal effects in the markets for the distribution of spare parts and automotive accessories and for the distribution of maintenance and repair services for motor vehicles.</w:t>
      </w:r>
    </w:p>
    <w:p>
      <w:r>
        <w:t>DECIDES</w:t>
      </w:r>
    </w:p>
    <w:p>
      <w:r>
        <w:t>Sole Article: The operation notified under number 15-199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