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https://www.autoritedelaconcurrence.fr/fr/decision-de-controle-des-concentrations/relative-la-prise-de-controle-conjoint-des-societes-0</w:t>
      </w:r>
    </w:p>
    <w:p>
      <w:r>
        <w:t>Pages translated : 6</w:t>
      </w:r>
    </w:p>
    <w:p/>
    <w:p>
      <w:r>
        <w:rPr>
          <w:b/>
        </w:rPr>
        <w:t>[Pages 1–3]</w:t>
      </w:r>
    </w:p>
    <w:p>
      <w:r>
        <w:t xml:space="preserve">FRENCH REPUBLIC  </w:t>
        <w:br/>
        <w:t xml:space="preserve">Decision No. 12-DCC-136 of September 25, 2012  </w:t>
        <w:br/>
        <w:t xml:space="preserve">regarding the joint control  </w:t>
        <w:br/>
        <w:t xml:space="preserve">of the companies Lenovilla and Latécoère  </w:t>
        <w:br/>
        <w:t>by the Foncière des Régions Group and Prédica</w:t>
      </w:r>
    </w:p>
    <w:p>
      <w:r>
        <w:t xml:space="preserve">The Competition Authority,  </w:t>
        <w:br/>
        <w:t xml:space="preserve">Having regard to the notification file sent to the merger service on August 21, 2012, and declared complete on August 23, 2012, regarding the joint control of the companies Lenovilla and Latécoère by the Foncière des Régions Group and Prédica, formalized by investment protocols dated July 19, 2012, and draft shareholders' agreements;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Prédica is a 100% subsidiary of Crédit Agricole SA ("GCA") through its subsidiary Crédit Agricole Assurance. GCA is active in the banking and insurance sectors aimed at individuals, farmers, professionals, businesses, and local authorities. In this capacity, it is notably active in the market for financing real estate projects. GCA also holds a real estate division organized around the company Crédit Agricole Immobilier, active in residential and office real estate promotion, intermediation for the sale and rental of properties, asset management services for third parties, and transaction activities. The two main companies of GCA that hold real estate assets as investors (management and holding of assets for their own account) are Prédica and Pacifica.  </w:t>
        <w:br/>
        <w:t xml:space="preserve">2. Foncière des Régions SA (hereinafter "FDR"), the parent company of the Foncière des Régions Group, is a French company whose shares are admitted to trading on the Euronext Paris market. Its main activity consists of the acquisition, ownership, management, and leasing of office buildings primarily in France but also in Italy and Germany. It also holds operating properties intended for the hotel, restaurant, health, and leisure sectors. It is also specialized in holding logistics assets and business premises.  </w:t>
        <w:br/>
        <w:t xml:space="preserve">3. Latécoère SNC is a 100% subsidiary of FDR that will be transformed into a real estate civil company for the purposes of this transaction. It will hold exclusive control of a real estate complex called "DS Campus," located at 10, rue Marcel Dassault in Vélizy Villacoublay, composed of four buildings with […] square meters of net floor area ("SHON"), or […] square meters of usable office space and 1,700 parking spaces. This complex is exclusively leased to the company Dassault Systèmes under a commercial lease that took effect [confidential]. An extension of this complex of approximately […] square meters is currently under negotiation with Dassault Systèmes.  </w:t>
        <w:br/>
        <w:t xml:space="preserve">4. Lenovilla is a real estate civil company, 100% subsidiary of FDR, established on February 8, 2012, for the purposes of this transaction. It holds exclusive control of a real estate complex called "New Vélizy," comprising three buildings with a total of […] square meters SHON, or […] square meters of usable office space. This complex is fully pre-leased to the company Thales under a commercial lease of [confidential] duration. An extension of this complex of approximately […] square meters is planned.  </w:t>
        <w:br/>
        <w:t xml:space="preserve">5. A first investment protocol dated July 19, 2012, provides that Prédica will enter the capital of Latécoère alongside FDR, so that they will hold respectively 49.9% and 50.1% of the capital no later than October 19, 2012. A second investment protocol of the same date also provides that Prédica will enter the capital of Lenovilla alongside FDR, so that they will hold respectively 49.9% and 50.1% of the capital no later than February 28, 2013. According to the draft shareholders' agreements, the governance of Latécoère and Lenovilla will be ensured by the manager FDR, the partnership committee composed equally of representatives of FDR and Prédica deciding unanimously, and the general assembly of partners also deciding unanimously.  </w:t>
        <w:br/>
        <w:t xml:space="preserve">6. The transition from a sole control of FDR to a joint control of FDR and Prédica over Latécoère and Lenovilla constitutes a concentration within the meaning of Article L. 430-1 of the Commercial Code. Indeed, in accordance with Article 5, paragraph 2, second subparagraph, of Regulation No. 139/2004 to which Article L.430-2 of the Commercial Code refers, " […] two or more operations within the meaning of the first subparagraph that have taken place over a period of two years between the same persons or companies are to be considered as a single concentration occurring on the date of the last operation." Under these conditions, given that according to the protocols submitted to the Authority a period of less than two years must elapse between these two operations, it should be considered that it is a single operation.  </w:t>
        <w:br/>
        <w:t>7. The concerned companies together achieved a consolidated turnover excluding taxes worldwide of more than 150 million euros in the last closed financial year (FDR: 849 million euros for the 2011 financial year; GCA: 91.02 billion euros for the same financial year). Each of these companies achieved, in France, a turnover exceeding 50 million euros (FDR: […] euros for the 2011 financial year; GCA: […] euros for the same financial year). Given these turnover figures and the fact that FDR and GCA each generate more than two-thirds of their respective turnover in the European Union in France,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8. The parties are simultaneously present in the real estate services sector.  </w:t>
        <w:br/>
        <w:t xml:space="preserve">A. PRODUCT AND SERVICE MARKETS  </w:t>
        <w:br/>
        <w:t xml:space="preserve">9. Decision-making practice has considered, while leaving the question open, different segmentations in the real estate sector1 according to (i) the recipients of the services (individuals or businesses), (ii) the pricing method (free residential real estate, social housing, or assisted intermediate housing), (iii) the type of activity conducted in the premises (offices, commercial premises, and other activity premises), and (iv) the nature of the services or goods offered.  </w:t>
        <w:br/>
        <w:t xml:space="preserve">10. Regarding segmentation according to the nature of the services or goods offered, decision-making practice2 has considered distinguishing: i) real estate promotion which includes construction and sale activities of real estate; ii) management of real estate assets for own account; iii) management of real estate assets for third parties; iv) property management which covers the activities of managing properties on behalf of owners and can be segmented between rental management and co-ownership management; v) real estate appraisal; vi) real estate consulting; and vii) intermediation in real estate transactions for which intermediation in purchase/sale operations is distinguished from intermediation in rental operations.  </w:t>
        <w:br/>
        <w:t xml:space="preserve">11. In this case, the parties to the operation are simultaneously present in the market for the management of real estate assets for their own account of office buildings. FDR is also present in the market for the management of real estate assets for commercial use. Furthermore, GCA is active in the markets for real estate consulting and real estate promotion aimed at businesses.  </w:t>
        <w:br/>
        <w:t xml:space="preserve">12. The question of the exact delimitation of the markets in the real estate sector will however be left open, the conclusions of the competitive analysis remaining unchanged regardless of the boundaries considered.  </w:t>
        <w:br/>
        <w:t xml:space="preserve">13. GCA is also active in the market for financing real estate projects, and the Authority has retained in this regard a market for real estate credit to professionals3, defined as the market on which banks and credit institutions provide a credit offer and a financing solution to businesses and real estate professionals for the purpose of acquiring or renovating real estate4. The question of the exact delimitation of  </w:t>
        <w:br/>
        <w:t xml:space="preserve">1 See in particular the decisions of the Competition Authority No. 11-DCC-138 of September 30, 2011, regarding the exclusive control by Altarea of Urbat Promotion, and No. 10-DCC-13 of January 29, 2010, regarding the exclusive control by Icade S.A. of Compagnie la Lucette SA; as well as the letter from the Minister of Economy, Industry and Employment C2008-79 of August 22, 2008, to the advisors of the companies CDC and Eurosic, regarding a concentration in the real estate sector. See also the decision of the European Commission COMP/M.3370 - BNP Paribas / ARI, of March 9, 2004.  </w:t>
        <w:br/>
        <w:t xml:space="preserve">2 See in particular the decisions of the Competition Authority No. 11-DCC-138 and No. 10-DCC-13 mentioned above.  </w:t>
        <w:br/>
        <w:t xml:space="preserve">3 See the decision of the Competition Authority No. 9-DCC-16 of June 22, 2009, regarding the merger between the Caisse d’Épargne and Banque Populaire groups.  </w:t>
        <w:br/>
        <w:t>4 Within this financing activity, real estate leasing and financing for professionals can be distinguished; for the latter, short-term financing (less than three years for real estate promotion) and long-term financing (more than three years) can be separated. However, short-term financing seems to be an uncommon practice in the market for real estate credit to businesses. The Minister has considered distinguishing, within the market for real estate credits aimed at businesses, short-term loans of a duration of less than or equal to three years primarily intended for financing real estate promotion, long-term loans of a duration exceeding three years, and real estate leasing. See the decision C2003-219 / letter from the Minister of Economy, Industry and Employment.</w:t>
      </w:r>
    </w:p>
    <w:p>
      <w:r>
        <w:rPr>
          <w:b/>
        </w:rPr>
        <w:t>[Pages 4–6]</w:t>
      </w:r>
    </w:p>
    <w:p>
      <w:r>
        <w:t>this market will however be left open, the conclusions of the competitive analysis remaining unchanged regardless of the boundaries considered.</w:t>
      </w:r>
    </w:p>
    <w:p>
      <w:r>
        <w:t>B. GEOGRAPHICAL MARKETS</w:t>
      </w:r>
    </w:p>
    <w:p>
      <w:r>
        <w:t>14. The decision-making practice has considered that markets related to the real estate sector are generally sub-national in scope, while leaving the question open. It has also considered a national level delineation for real estate services markets intended for businesses when investment operations are carried out by large investors.</w:t>
      </w:r>
    </w:p>
    <w:p>
      <w:r>
        <w:t>15. In this case, the parties to the transaction are simultaneously active in the Île-de-France region.</w:t>
      </w:r>
    </w:p>
    <w:p>
      <w:r>
        <w:t>16. Regarding this area, the decision-making practice has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of price levels. Therefore, the regional level is the most appropriate for competitive analysis."</w:t>
      </w:r>
    </w:p>
    <w:p>
      <w:r>
        <w:t>17. For the markets of holding and managing real estate assets, the parties conducted the competitive analysis at the regional and local level of the "second southern crown"8 as it corresponds, according to the notifying parties, to a commonly accepted division in the sector. They also indicated their market share in the Yvelines department, in accordance with decision-making practice.</w:t>
      </w:r>
    </w:p>
    <w:p>
      <w:r>
        <w:t>18. Regarding the market for financing real estate projects, the competition authorities have considered that commercial banking markets are globally sized9 when intended for large companies and at most nationally sized when intended for SMEs.</w:t>
      </w:r>
    </w:p>
    <w:p>
      <w:r>
        <w:t>19. However, the question of the exact delineation of relevant markets may be left open as the conclusions of the competitive analysis remain unchanged regardless of the delineation retained.</w:t>
      </w:r>
    </w:p>
    <w:p>
      <w:r>
        <w:t>III. Competitive Analysis</w:t>
      </w:r>
    </w:p>
    <w:p>
      <w:r>
        <w:t>20. FDR, GCA, Latécoère, and Lenovilla are simultaneously present in the market for the holding and management for their own account of real estate assets for office use, which will be analyzed in terms of horizontal effects.</w:t>
      </w:r>
    </w:p>
    <w:p>
      <w:r>
        <w:t>21. Furthermore, FDR is active in the market for the management of real estate assets for commercial use, and GCA is active in the markets of real estate consulting, real estate development for businesses, and financing real estate projects, situated upstream of the first. These markets will be taken into account in terms of vertical effects.</w:t>
      </w:r>
    </w:p>
    <w:p>
      <w:r>
        <w:t>22. In the market for the holding and management for their own account of real estate assets for office use, FDR and GCA estimated their respective market shares at the national level to be [0-5]% and [0-5]% in 2011. The national weight of the areas held by Latécoère and Lenovilla, namely […] m² and […] m², is significantly below [0-5]%. In the Île-de-France region, the respective market shares of FDR and GCA are estimated at [0-5]% and [0-5]%, and the areas held by Latécoère and Lenovilla each represent approximately [0-5]% of the total. Therefore, the operation would have no effect on the geographically defined markets.</w:t>
      </w:r>
    </w:p>
    <w:p>
      <w:r>
        <w:t>23. In a market limited to the Yvelines department alone, the market shares of FDR and GCA are around [0-5]% each, and the areas held by Latécoère and Lenovilla represent [0-5]% of the total. GCA's weight in such a market would therefore remain below [0-5]% after the operation.</w:t>
      </w:r>
    </w:p>
    <w:p>
      <w:r>
        <w:t>24. Finally, in the local area of the "second southern crown," the respective market shares of FDR and GCA are estimated at [0-5]% and [5-10]%, and those of Latécoère and Lenovilla at [0-5]% each. GCA will not exceed [5-10]% market share after the operation.</w:t>
      </w:r>
    </w:p>
    <w:p>
      <w:r>
        <w:t>25. The market for the management and holding for their own account of real estate assets for office use in Île-de-France is also characterized by its high fragmentation. Indeed, many operators are active there, such as real estate companies, including listed real estate investment companies such as Gecina and Silic, as well as insurance companies, investment funds, and banks.</w:t>
      </w:r>
    </w:p>
    <w:p>
      <w:r>
        <w:t>26. Regarding upstream markets, FDR will have a national market share of less than [0-5]% in the market for the management of commercial real estate. The same applies to GCA in the real estate consulting market. In the market for real estate development for businesses, GCA's market share is estimated at [5-10]% in Île-de-France. In the market for real estate credit to businesses, GCA's market share is estimated at less than [10-20]%, and it will continue to face competition from banking groups such as BPCE, BNPP, or CM/CIC.</w:t>
      </w:r>
    </w:p>
    <w:p>
      <w:r>
        <w:t>27. The operation is therefore not likely to have vertical effects.</w:t>
      </w:r>
    </w:p>
    <w:p>
      <w:r>
        <w:t>DECIDES</w:t>
      </w:r>
    </w:p>
    <w:p>
      <w:r>
        <w:t>Sole Article: The operation notified under numbers 12-127 and 12-135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