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w:t>
      </w:r>
    </w:p>
    <w:p>
      <w:r>
        <w:t>Pages translated : 14</w:t>
      </w:r>
    </w:p>
    <w:p/>
    <w:p>
      <w:r>
        <w:rPr>
          <w:b/>
        </w:rPr>
        <w:t>[Pages 1–3]</w:t>
      </w:r>
    </w:p>
    <w:p>
      <w:r>
        <w:t xml:space="preserve">FRENCH REPUBLIC  </w:t>
        <w:br/>
        <w:t xml:space="preserve">Decision No. 13-DCC-12 of January 28, 2013  </w:t>
        <w:br/>
        <w:t xml:space="preserve">regarding the joint control of the companies Nobladis and Sodirev  </w:t>
        <w:br/>
        <w:t>by the Cornac group and the Association of E. Leclerc Distributors</w:t>
      </w:r>
    </w:p>
    <w:p>
      <w:r>
        <w:t xml:space="preserve">The Competition Authority,  </w:t>
        <w:br/>
        <w:t xml:space="preserve">Having regard to the notification file sent to the concentrations service on November 7, 2012, and declared complete on December 20, 2012, regarding the joint control of the companies Nobladis and Sodirev by the Cornac group and the Association of E. Leclerc Distributors, formalized by a mutual promise of sale and purchase of shares agreement dated October 10,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A. THE COMPANIES CONCERNED  </w:t>
        <w:br/>
        <w:t xml:space="preserve">1. THE TARGET COMPANIES  </w:t>
        <w:br/>
        <w:t xml:space="preserve">1. The company Sodirev is a public limited company that operates, under the E.Leclerc brand, a retail store predominantly selling food with a sales area of 16,820 m², located in Saint Orens de Gameville (31). Sodirev controls the company Sodirev Voyages, which is active in the travel services sector, and the company Autorens, which provides automotive repair and maintenance services.  </w:t>
        <w:br/>
        <w:t xml:space="preserve">2. The company Nobladis is a public limited company that operates, under the E.Leclerc brand, a retail store predominantly selling food with a surface area of 16,680 m², located in Blagnac (31). Nobladis controls the company Nobladis Voyages, which is active in the travel services sector, and the company Carbur-Auto, which provides automotive repair and maintenance services.  </w:t>
        <w:br/>
        <w:t>3. Nobladis and Sodirev are controlled by Mr. Rémy Nauleau, respectively through the companies Rémy Nauleau Développement and RN.Patri.One, which are part of the Nauleau family group.</w:t>
      </w:r>
    </w:p>
    <w:p>
      <w:r>
        <w:t xml:space="preserve">2. THE ACQUIRERS: MR. AND MRS. CORNAC AND THE LECLERC MOVEMENT  </w:t>
        <w:br/>
        <w:t xml:space="preserve">a) The entities concerned  </w:t>
        <w:br/>
        <w:t xml:space="preserve">4. On the acquirers' side, the operation concerns two entities, namely the Cornac family group and the Association of E.Leclerc Distributors.  </w:t>
        <w:br/>
        <w:t xml:space="preserve">5. The Cornac group is a group of companies directly controlled by Mr. Thierry Cornac and his wife, Mrs. Agnès Cornac-Montamat. The Cornac couple holds […] % of the capital of each of the companies HBC 31 and HSO 31, simplified joint-stock companies created for the needs of the operation. HBC 31 and HSO 31 are engaged in the management of equity securities but do not control, prior to the notified operation, any company. The Cornac couple also controls the company Nikaiadis II, which has not engaged in any economic activity since the sale, in November 2012, of its sole subsidiary, a company operating a food distribution business.  </w:t>
        <w:br/>
        <w:t>6. The Association of E.Leclerc Distributors (hereinafter, "ACDLec" or the "Leclerc association") is the strategic body of the Leclerc movement, to which all individuals who manage the operating companies of Leclerc stores are members. ACDLec notably determines the conditions for approval to the Leclerc movement and signs the brand contracts that must be held by the operators of E.Leclerc retail stores.</w:t>
      </w:r>
    </w:p>
    <w:p>
      <w:r>
        <w:t xml:space="preserve">b) The control of the concerned entities  </w:t>
        <w:br/>
        <w:t xml:space="preserve">7. It is argued in the notification of the operation that ACDLec does not exercise any control over HBC 31 or HSO 31 or over the target companies, and that each of these companies is only controlled by the majority shareholder of said company, if applicable with members of his family.  </w:t>
        <w:br/>
        <w:t>8. Nevertheless, as the Authority noted in a previous decision, the governance mode of the operating companies of the Leclerc distribution centers that have adopted the statutes of simplified joint-stock companies compliant with the model statutes validated by ACDLec (hereinafter "model statutes" or "Leclerc SAS statutes"), and whose adoption has been made mandatory for the creation of any new operating company of a Leclerc store by the decision of the ACDLec board of directors of December 2, 2002, as well as the various obligations imposed in the brand contracts allow ACDLec to exert a decisive influence on the companies HBC 31 and HSO 31 and on the target companies.</w:t>
      </w:r>
    </w:p>
    <w:p>
      <w:r>
        <w:t xml:space="preserve">9. After recalling the applicable principles (i) and describing the organization of the Leclerc movement (ii), it will be appropriate to present the factual elements allowing ACDLec to exert a decisive influence on the companies HBC 31 and HSO 31 and on the target companies (iii).  </w:t>
        <w:br/>
        <w:t xml:space="preserve">(i) Reminder of the applicable principles  </w:t>
        <w:br/>
        <w:t xml:space="preserve">10. Article L. 430-1 of the Commercial Code provides that a concentration operation is carried out notably "when one or more persons, already holding control of at least one company, or when one or more companies acquire, directly or indirectly, (...), control of all or parts of one or more other companies." "Control" in the sense of these provisions results from "rights, contracts, or other means which confer, alone or jointly and considering the factual or legal circumstances, the possibility of exercising a decisive influence on the activity of a company."  </w:t>
        <w:br/>
        <w:t xml:space="preserve">11. It follows that a company is "controlled" by another as soon as the controlling company can exercise a decisive influence on the activity of the controlled company. This possibility must be real, but it is not necessary to demonstrate that the decisive influence is or will be effectively exercised. In a ruling of January 31, 2007, the Council of State recognized the joint control of BFCM over EBRA, based on a body of evidence, even though no decisive influence could actually be exercised, as EBRA had been established for the needs of the concentration operation in question.  </w:t>
        <w:br/>
        <w:t>12. The Authority assesses the decisive influence and, therefore, the exercise of "control" in the sense of these provisions, in light of several criteria. Case law also recalls that the possibility of exercising a decisive influence can be established based on various elements, both legal and factual. Generally, it is the rights conferred to a shareholder, whether majority or minority, that determine the exercise of control over a company, but other elements may also be taken into account. In particular, contractual or financial relationships can establish the existence of de facto control. In certain circumstances, a company may even have decisive influence without holding any equity interest. All these criteria are assessed by the Authority according to the technique of the body of evidence, even if each of these indices taken in isolation would not be sufficient to confer decisive influence.</w:t>
      </w:r>
    </w:p>
    <w:p>
      <w:r>
        <w:rPr>
          <w:b/>
        </w:rPr>
        <w:t>[Pages 4–6]</w:t>
      </w:r>
    </w:p>
    <w:p>
      <w:r>
        <w:t>13. Although the judicial communication from the European Commission regarding Council Regulation No. 139/2004 specifies that franchise agreements do not, in principle, by themselves establish control of a franchisor over a franchisee, distribution agreements, and all the more so contracts or statutory documents structuring a distribution network, are likely, when taken together with other legal or factual elements, to confer on the head of the network a decisive influence over its members. The Authority therefore examines all provisions that allow the head of the network to limit the autonomy of the member, both in conducting its commercial policy (for example, through contractual mechanisms that transfer all or part of the commercial risk from the member to the head of the network) and in the possibilities of changing networks, and determines whether they are sufficient to confer on the "head of the network" a decisive influence over the business of its "member."</w:t>
      </w:r>
    </w:p>
    <w:p>
      <w:r>
        <w:t>14. The Authority also assesses, in the relationships between a head of the network and a retail business, to what extent certain provisions of the statutes of the latter may confer on the head of the network a decisive influence over the member (franchisee or concessionaire). For example, if the statutes specify the brand under which the member must conduct its activity, and can only be modified with the agreement of the head of the distribution network, they allow the latter to prevent the member from leaving the network. The Authority then considers that the provisions of the statutes, combined with the contracts structuring the distribution network, and possibly with a minority participation, confer a decisive influence on the head of the network. The same applies when the statutes set a very long duration during which the member cannot leave the network, or effectively prevent the member from leaving the network for a very long time.</w:t>
      </w:r>
    </w:p>
    <w:p>
      <w:r>
        <w:t>15. In the case at hand, the assessment of the control of the entities involved in the operation, and in particular of the companies HBC 31 and HSO 31, companies created for the purpose of the acquisition and which will hold the targets at the end of the operation, requires examining all the legal and factual elements binding these entities to ACDLec.</w:t>
      </w:r>
    </w:p>
    <w:p>
      <w:r>
        <w:t>(ii) The organization of the Leclerc movement</w:t>
      </w:r>
    </w:p>
    <w:p>
      <w:r>
        <w:t>16. The Leclerc movement is based on a two-tier organization:</w:t>
        <w:br/>
        <w:t>- on the one hand, that of the members taken as natural persons, holders of the E.Leclerc sign and managing the stores. The members have organized themselves in the form of an association under the 1901 law, named the Association of E.Leclerc Distributors ("ACDLec"). The latter is the guardian of common principles for the Leclerc brand stores, notably by defining the rules for membership in the brand, verifying compliance by the members with its statutes, its internal regulations, and its decisions and directives, as well as setting the major axes of the brand's strategy;</w:t>
        <w:br/>
        <w:t>- on the other hand, the level of the companies that are the operating companies of the E.Leclerc Centers, to which one can assimilate the companies controlling such companies such as HBC 31 and HSO 31, predominantly constituted in the form of simplified joint-stock companies (SAS) with SAS Leclerc statutes, and the common companies (such as supply cooperative companies or "SCA") almost exclusively constituted in the form of cooperatives of retail merchants. At the national level, all E.Leclerc centers belong to the Purchasing Group of E.Leclerc centers (the "Galec"), a cooperative public limited company with a management board and supervisory board that ensures supplier referencing. At the regional level, E.Leclerc centers also belong to a regional supply center, each depending on its geographical location; this is the case for the E.Leclerc centers in the Midi-Pyrénées region, which belong to Socamil.</w:t>
      </w:r>
    </w:p>
    <w:p>
      <w:r>
        <w:t>(iii) The joint control exercised by ACDLec over HBC 31 and HSO 31</w:t>
      </w:r>
    </w:p>
    <w:p>
      <w:r>
        <w:t>17. As recalled in the Authority's guidelines, "when two or more companies have the possibility of exercising decisive influence over another company, control is joint. The controlling companies are therefore called upon to collaborate and agree on the strategy of the controlled company."</w:t>
      </w:r>
    </w:p>
    <w:p>
      <w:r>
        <w:t>18. In this case, it should first be noted that Mr. and Mrs. Cornac are the majority shareholders of the companies HBC 31 and HSO 31, and that Mr. Cornac is in charge, as president, of the operational management of these two companies. The Cornacs therefore exercise a decisive influence over these companies.</w:t>
      </w:r>
    </w:p>
    <w:p>
      <w:r>
        <w:t>19. Secondly, the Competition Authority recalled in its guidelines regarding concentration control that a company, within the meaning of the provisions of Article L. 430-1 of the Commercial Code, can be any entity engaged in economic activity, regardless of the legal status of that entity or its mode of financing. The decision-making practice has indeed considered that an association engaged in economic activity, notably because its purpose is to control commercial companies, is a company within the meaning of the aforementioned provisions.</w:t>
      </w:r>
    </w:p>
    <w:p>
      <w:r>
        <w:t>20. In this case, ACDLec is indeed a company within the meaning of the provisions of Article L. 430-1 of the Commercial Code in that it engages in economic activity consisting notably, according to the provisions of its statutes, in:</w:t>
        <w:br/>
        <w:t>- defining the brand policy;</w:t>
        <w:br/>
        <w:t>- protecting and promoting the sign "E.Leclerc Distributor Center";</w:t>
        <w:br/>
        <w:t>- controlling either for itself or on behalf of any commercial company grouping the Leclerc distributor centers, the conditions of management of the latter or of the E.Leclerc centers associated with them;</w:t>
        <w:br/>
        <w:t>- contributing to the creation of any organization likely to promote the activity, solidarity, and security of its members.</w:t>
      </w:r>
    </w:p>
    <w:p>
      <w:r>
        <w:t>21. Thirdly, HBC 31 and HSO 31 are simplified joint-stock companies with SAS Leclerc statutes. The possibility for ACDLec to exercise a decisive influence over the companies HBC 31 and HSO 31 and over the target companies, even though it holds no shares in the capital of these companies, arises from a body of evidence mainly based on the specific provisions of these statutes and notably on the possibility for ACDLec to intervene in the appointment, dismissal, or even exclusion of the president of these companies and the members of their sponsorship councils. Added to this is the possibility for ACDLec to decisively influence the commercial policy of the stores owned by its operating companies through brand contracts. Finally, it is necessary to consider the constraints that the combination of these statutes and various contracts signed by these companies impose on changes in brand identity and the transfer of shares of the latter.</w:t>
      </w:r>
    </w:p>
    <w:p>
      <w:r>
        <w:t>- The possibility to intervene in the appointment, dismissal, or even exclusion of the president of the companies HBC 31 and HSO 31 and the members of the sponsorship councils through the conclusion or termination of brand contracts:</w:t>
      </w:r>
    </w:p>
    <w:p>
      <w:r>
        <w:t>22. It follows from the analysis of the governance mode of the companies HBC 31 and HSO 31 as established by the SAS Leclerc statutes that ACDLec has a veto right over the appointment and exercise of the functions of the president of the companies HBC 31 and HSO 31. Indeed, in accordance with the provisions of these statutes and as confirmed by the parties, these companies will be endowed at the end of the operation with a "sponsorship council." This council will be composed of the sponsors of each of the companies HBC 31 and HSO 31, that is to say, leaders of operating companies of other Leclerc stores or of operating companies of Leclerc stores, whose activity depends on the holding of the right to use the E. Leclerc sign, granted by ACDLec in a brand contract. However, in accordance with the provisions of the statutes of the companies HBC 31 and HSO 31, they will be directed and administered by their sponsorship council which "deliberates [by simple majority] on the strategy of the company," "approves the accounts for the financial year, the management report, and the text of the resolutions submitted to collective decisions [by simple majority]" and has the power to request at any time the budgets of the company or any document of prospective management. Furthermore, the sponsorship council designates the president of the company, and the latter "is vested with the broadest powers to act at all times on behalf of the company." The president of the company can also be dismissed, or even excluded, by a two-thirds majority of the partners. In this case, this possibility is real in that the Cornacs represent only a quarter of the partners of HBC 31 and HSO 31.</w:t>
      </w:r>
    </w:p>
    <w:p>
      <w:r>
        <w:rPr>
          <w:b/>
        </w:rPr>
        <w:t>[Pages 7–9]</w:t>
      </w:r>
    </w:p>
    <w:p>
      <w:r>
        <w:t>23. The parties consider that ACDLec does not exercise any control over the companies HBC 31 and HSO 31 insofar as they are presided over by an independent trader, namely Mr. Cornac, and that neither the existence of a sponsorship council, composed of independent traders, nor the fact that the sponsors, members of ACDLec, can revoke or exclude the president of the company would allow ACDLec to exert influence over the management of the company.</w:t>
      </w:r>
    </w:p>
    <w:p>
      <w:r>
        <w:t>24. However, this analysis cannot be followed. The president of the companies HBC 31 and HSO 31 does indeed exercise control over them, but it is a joint control exercised alongside ACDLec. Indeed, the president of the companies HBC 31 and HSO 31 must necessarily be a natural person who has obtained from ACDLec the right to use the E.Leclerc brand. In this case, the parties have not provided the signboard contract of Mr. Cornac for the target stores, which had not yet been signed at the date of notification, but have confirmed that its terms would be identical to those usually concluded by ACDLec, of which several copies are in the file. The members of the sponsorship council must also be members of ACDLec and therefore be signatories of a signboard contract concluded with ACDLec.</w:t>
      </w:r>
    </w:p>
    <w:p>
      <w:r>
        <w:t>25. More generally, only members of ACDLec (or the operating companies they manage) can operate a store under the E.Leclerc brand, join Galec or a general supply cooperative of the Leclerc movement such as Socamil, this status requiring the holder to have a signboard contract (or brand) signed with ACDLec, granting the right to use the E.Leclerc brand. Since ACDLec is not obliged to grant this right to use the E.Leclerc brand, nor to justify any refusals, and since it can withdraw this right to use the E.Leclerc brand under the provisions of the brand contract that leave it a very wide margin of discretion, ACDLec can control the appointment of the president, but also that of the members of the sponsorship council of the companies HBC 31 and HSO 31.</w:t>
      </w:r>
    </w:p>
    <w:p>
      <w:r>
        <w:t>26. In fact, the loss of the right to use the E.Leclerc brand is likely to justify the revocation of the president of the companies HBC 31 and HSO 31, or even the exclusion of the majority shareholders of these two companies, namely the Cornac spouses, which can be decided by a two-thirds majority of the number of partners.</w:t>
      </w:r>
    </w:p>
    <w:p>
      <w:r>
        <w:t>27. Indeed, insofar as the statutes provide that the president of the companies HBC 31 and HSO 31 must be "necessarily the holder of the signboard," the loss of this signboard constitutes a "just cause" for revocation. It follows that the sponsorship council of the companies HBC 31 and HSO 31 has the power of appointment and that the partners, members of ACDLec or operating companies managed by members of ACDLec, have the power to revoke the president of these companies. This power, combined with the prerogatives of granting and withdrawing the right to use the brand by ACDLec, ultimately gives ACDLec a decisive role in the appointment and revocation of the president of the companies HBC 31 and HSO 31.</w:t>
      </w:r>
    </w:p>
    <w:p>
      <w:r>
        <w:t>28. Furthermore, the statutes of the companies HBC 31 and HSO 31 provide that a partner can be excluded by a vote of the partners by a two-thirds majority of the number of partners, particularly in the event of loss of the right to use the brand. In the event of exclusion, the excluded partner is required to transfer their shares to the other partners. Consequently, the Cornac spouses, who represent only a quarter of the partners of the companies HBC 31 and HSO 31, are likely to be excluded from the companies HBC 31 and HSO 31 of which they are nevertheless majority shareholders, particularly at the initiative of ACDLec, of which at least eight of the twelve partners of HBC 31 and HSO 31 are members or managed by members, excluding the Cornac spouses and the company Nikaiadis II.</w:t>
      </w:r>
    </w:p>
    <w:p>
      <w:r>
        <w:t>29. ACDLec imposes, in the signboard contracts, in the charter of members of the Leclerc movement, and in directives disseminated by its regional delegates who ensure their proper application, two series of obligations whose content exceeds mere protection of the brand and, more generally, of ACDLec's investment in the E.Leclerc brand. These obligations significantly limit the autonomy of members in conducting their commercial policy. In this case, these obligations will apply to the President of the operating companies, Mr. Thierry Cornac, with whom ACDLec will conclude such a signboard contract once the operation is authorized.</w:t>
      </w:r>
    </w:p>
    <w:p>
      <w:r>
        <w:t>30. Firstly, the association receives all documents necessary for assessing the commercial operation of the stores by their managers. Members must therefore submit their balance sheet and income statement annually, as well as, monthly, the turnover of the previous month.</w:t>
      </w:r>
    </w:p>
    <w:p>
      <w:r>
        <w:t>31. Secondly, ACDLec also imposes, in the brand contracts, obligations that give it a decisive role in the commercial strategy of the stores. These contracts indeed provide that members cannot apply margins higher than those practiced for wholesale sales and that, in all cases, members commit "to never apply a margin higher than those recommended by ACDLec." However, the setting of the margin rate is the essential element that determines the commercial profitability of a large retail brand. The charter of members of ACDLec expressly states that each member is required to respect the pricing policy of the Leclerc movement, which constitutes "one of the essential elements of belonging to ACDLec. (...) The average index target to be achieved to ensure the overall competitiveness of the brand is [...]. Every member must strive to meet the set target and, in any case, have a comprehensive index at OPUS lower than [...]. Non-compliance with this pricing rule leads to the implementation of a disciplinary procedure, a warning from ACDLec sanctions any excess, three consecutive warnings may lead to expulsion from the association." It follows that, in practice, ACDLec is effectively able to correct the commercial policy of the operating companies of Leclerc stores.</w:t>
      </w:r>
    </w:p>
    <w:p>
      <w:r>
        <w:t>32. Moreover, the brand contracts impose obligations on members that precisely frame their supply, investments, and social policy. Members are also required not to operate or manage any other commercial enterprise, even if it has a similar activity. In addition to these obligations imposed by ACDLec in the brand contracts, members of ACDLec are required to comply with the obligations set forth in the charter of members of the Leclerc movement and by directives outlining the brand policy developed by the strategic committee of ACDLec, and disseminated by its regional delegates. Any breach of these obligations is likely to justify the withdrawal of the right to use the E.Leclerc brand.</w:t>
      </w:r>
    </w:p>
    <w:p>
      <w:r>
        <w:t>33. The various statutory provisions or contractual stipulations applicable make it difficult to transfer shares of the companies HBC 31 or HSO 31 to a person outside the Leclerc movement.</w:t>
      </w:r>
    </w:p>
    <w:p>
      <w:r>
        <w:t>34. Regarding the transfer of shares by the majority shareholder, several obligations provided in the statutes of HBC 31 and HSO 31 obstruct this, namely:</w:t>
        <w:br/>
        <w:t>- the obligation to submit any transfer of shares for approval by the sponsorship council, which decides by a two-thirds majority of the members present or represented, with the transferor not participating in the vote; and</w:t>
        <w:br/>
        <w:t>- failing a transfer under these conditions, any transfer of shares to a third party is subject to a preemption right in favor of the other partners.</w:t>
      </w:r>
    </w:p>
    <w:p>
      <w:r>
        <w:rPr>
          <w:b/>
        </w:rPr>
        <w:t>[Pages 10–12]</w:t>
      </w:r>
    </w:p>
    <w:p>
      <w:r>
        <w:t>35. In total, it follows from all the elements noted above, and notably from the possibility for ACDLec to intervene, both in the appointment and dismissal of the president of the companies HBC 31 and HSO 31 and the members of their sponsorship councils, in the commercial policy of the companies and on the share transfers of the latter, that ACDLec has the ability to exert a decisive influence on the companies HBC 31 and HSO 31.</w:t>
      </w:r>
    </w:p>
    <w:p>
      <w:r>
        <w:t>B. THE OPERATION</w:t>
      </w:r>
    </w:p>
    <w:p>
      <w:r>
        <w:t>36. The operation is formalized by a promise of sale agreement and a purchase option signed on October 10, 2012, materializing:</w:t>
        <w:br/>
        <w:t>- the acquisition by HBC 31 of […] % of the capital and voting rights of the company Nobladis (HBC 31 also having a purchase option for the acquisition of […] % additional from the company Rémy Nauleau Développement);</w:t>
        <w:br/>
        <w:t>- the acquisition by HSO 31 of […] % of the capital and voting rights of the company Sodirev (HSO 31 having a purchase option for the acquisition of […] % additional from the company RN.Patri.One).</w:t>
      </w:r>
    </w:p>
    <w:p>
      <w:r>
        <w:t>37. These two operations are carried out simultaneously, between the same parties and within the framework of a single act, and constitute one and the same operation.</w:t>
      </w:r>
    </w:p>
    <w:p>
      <w:r>
        <w:t>38. Nobladis and Sodirev, which are currently organized as public limited companies exclusively controlled by the Nauleau group, will be transformed into SAS at the conclusion of the operation. The parties specified that their statutes would be "drafted taking into account the principles set out in the statutes proposed by ACDLec," while nevertheless having a different corporate purpose, with the purpose of HBC 31 and HSO 31 consisting of holding Nobladis and Sodirev and that of the latter consisting of operating the stores. ACDLec will then potentially be able to intervene, both in the appointment and dismissal of the president of the companies Nobladis and Sodirev and the members of their sponsorship councils, in the commercial policy of these companies and on the changes in brand identity and the share transfers of the latter, under the same conditions as those previously mentioned for the companies HBC 31 and HSO 31. At the conclusion of the operation, ACDLec will therefore be able to directly exert a decisive influence on the companies Nobladis and Sodirev, alongside the Cornac spouses.</w:t>
      </w:r>
    </w:p>
    <w:p>
      <w:r>
        <w:t>39. Insofar as it leads to the transition from exclusive control by the Nauleau group of the companies Nobladis and Sodirev to joint control by the Cornac group and ACDLec over these two companies, the operation constitutes a concentration within the meaning of Article L. 430-1 of the Commercial Code.</w:t>
      </w:r>
    </w:p>
    <w:p>
      <w:r>
        <w:t>In the event of a change in brand identity, due to their membership in Galec and Socamil, the companies Sodirev and Nobladis will be subject to the payment of significant penalties. Article 12 of the statutes of the purchasing center of the Leclerc movement (Galec), to which active members of the Leclerc movement are mandatorily affiliated, provides that members commit for a duration of […] years, any early termination resulting in the mandatory payment of a lump sum indemnity including the loss of rebates not yet paid by Galec and the payment of an amount representing […] % of the member's turnover. Furthermore, Article 11C of the statutes of Socamil, of which Sodirev and Nobladis are members, provides that in the event of withdrawal or exclusion from Socamil, a partner is required to pay a lump sum penalty equal to […] times the amount of the annual contribution (excluding transport).</w:t>
      </w:r>
    </w:p>
    <w:p>
      <w:r>
        <w:t>40. The companies concerned operate retail stores and together achieve a total global turnover of more than 75 million euros (Leclerc movement: […] euros for the fiscal year ending December 31; Nobladis and Sodirev: […] euros for the same fiscal year). At least two of these companies achieve a turnover in France exceeding 15 million euros (Leclerc movement: […] euros for the fiscal year ending December 31, 2011; Nobladis and Sodirev: […] euros for the same fiscal year). Given these turnover figures, the operation does not have a community dimension in that the Leclerc movement, on the one hand, and Nobladis and Sodirev, on the other hand, achieve more than two-thirds of their turnover in France. On the other hand, the control thresholds mentioned in II of Article L. 430-2 of the Commercial Code are exceeded. This operation is therefore subject to the provisions of Articles L. 430-3 and following of the Commercial Code relating to economic concentration.</w:t>
      </w:r>
    </w:p>
    <w:p>
      <w:r>
        <w:t>II. DELIMITATION OF RELEVANT MARKETS</w:t>
      </w:r>
    </w:p>
    <w:p>
      <w:r>
        <w:t>41. According to the consistent practice of national and community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w:t>
      </w:r>
    </w:p>
    <w:p>
      <w:r>
        <w:t>A. UPSTREAM SUPPLY MARKETS</w:t>
      </w:r>
    </w:p>
    <w:p>
      <w:r>
        <w:t>42. Regarding supply markets, the European Commission has recognized the existence of national markets by major product groups, a delineation followed by national authorities.</w:t>
      </w:r>
    </w:p>
    <w:p>
      <w:r>
        <w:t>43. There is no reason to challenge this delineation in the context of the present operation.</w:t>
      </w:r>
    </w:p>
    <w:p>
      <w:r>
        <w:t>B. DOWNSTREAM DISTRIBUTION MARKETS</w:t>
      </w:r>
    </w:p>
    <w:p>
      <w:r>
        <w:t>1. SERVICE MARKETS</w:t>
      </w:r>
    </w:p>
    <w:p>
      <w:r>
        <w:t>44. Regarding the retail sale of everyday consumer goods, both community and national competition authorities have distinguished six categories of commerce using several criteria, including store size, sales techniques,</w:t>
      </w:r>
    </w:p>
    <w:p>
      <w:r>
        <w:t>their accessibility, the nature of the service provided, and the range of products offered:</w:t>
        <w:br/>
        <w:t>(i) hypermarkets, (ii) supermarkets, (iii) specialized trade, (iv) small retail trade, (v) large discounters, (vi) mail order sales.</w:t>
      </w:r>
    </w:p>
    <w:p>
      <w:r>
        <w:t>45. Supermarkets are usually defined as food-dominant stores with a legal sales area of less than 2,500 m², and hypermarkets as stores with a legal sales area of more than 2,500 m². In this case, the target stores involved in the operation currently occupy sales areas of 16,820 m² and 16,680 m², these stores falling into the hypermarket category.</w:t>
      </w:r>
    </w:p>
    <w:p>
      <w:r>
        <w:t>46. Consequently, the competitive analysis is conducted, on the one hand, on a market comprising only hypermarkets and, on the other hand, on a market including all formats (hypermarkets, supermarkets, hard-discounters), excluding small retail stores (less than 400 m²).</w:t>
      </w:r>
    </w:p>
    <w:p>
      <w:r>
        <w:t>2. GEOGRAPHICAL DELIMITATION</w:t>
      </w:r>
    </w:p>
    <w:p>
      <w:r>
        <w:t>47. It follows from decision-making practice that the conditions of competition are assessed in two different areas depending on the size of the stores:</w:t>
        <w:br/>
        <w:t>- a market where the demand from consumers meets the supply of supermarkets and equivalent forms of commerce located within a 15-minute drive. These latter forms of commerce may include, in addition to supermarkets, hypermarkets located near consumers and discount stores;</w:t>
        <w:br/>
        <w:t>- a second market where the demand from consumers in one area meets the supply of hypermarkets that they can access within a 30-minute drive and which are, from their perspective, substitutable for each other.</w:t>
      </w:r>
    </w:p>
    <w:p>
      <w:r>
        <w:t>48.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refining, on a case-by-case basis, the usual delimitations presented above.</w:t>
      </w:r>
    </w:p>
    <w:p>
      <w:r>
        <w:t>III. COMPETITIVE ANALYSIS</w:t>
      </w:r>
    </w:p>
    <w:p>
      <w:r>
        <w:t>A. UPSTREAM SUPPLY MARKETS</w:t>
      </w:r>
    </w:p>
    <w:p>
      <w:r>
        <w:t>49. Regarding upstream supply markets, the purchases of retail stores predominantly selling food operated in France under the Leclerc brand have</w:t>
      </w:r>
    </w:p>
    <w:p>
      <w:r>
        <w:rPr>
          <w:b/>
        </w:rPr>
        <w:t>[Pages 13–14]</w:t>
      </w:r>
    </w:p>
    <w:p>
      <w:r>
        <w:t>represented in 2011 approximately […] euros, which represents less than [20-30]% of purchases in the overall supply market, regardless of the estimate used to assess the size of this market. The purchases of Nobladis and Sodirev represent less than [0-5]% of the overall supply market.</w:t>
      </w:r>
    </w:p>
    <w:p>
      <w:r>
        <w:t>50. If one takes into account a segmentation of the supply markets by type of products, regardless of the segmentation chosen, the share of purchases by stores operated under the Leclerc brand in each of the markets defined by product category is less than [20-30]% and that of the target stores is less than [0-5]%. The increment induced by the operation therefore remains very low.</w:t>
      </w:r>
    </w:p>
    <w:p>
      <w:r>
        <w:t>51. The operation is therefore not likely to strengthen the purchasing power of the Leclerc movement in the upstream supply markets, regardless of the market segmentation chosen.</w:t>
      </w:r>
    </w:p>
    <w:p>
      <w:r>
        <w:t>B. THE DOWNSTREAM MARKETS OF FOOD-ORIENTED RETAIL DISTRIBUTION</w:t>
      </w:r>
    </w:p>
    <w:p>
      <w:r>
        <w:t>52. The stores concerned by the operation are a hypermarket of 16,820 m² located in Saint Orens de Gameville (31) and a hypermarket of 16,680 m² located in Blagnac (31).</w:t>
      </w:r>
    </w:p>
    <w:p>
      <w:r>
        <w:t>53. In the areas corresponding to a 15-minute drive around each of the target stores, the operation does not result in any overlap of activity.</w:t>
      </w:r>
    </w:p>
    <w:p>
      <w:r>
        <w:t>54. Furthermore, in the 30-minute area around the hypermarket located in Saint Orens de Gameville, the cumulative market shares of the parties will amount to [20-30]%, with the target stores representing [10-20]% of the sales area in the zone. Similarly, in the 30-minute area around the hypermarket located in Blagnac, the cumulative market shares of the parties will amount to [20-30]%, with the target stores representing [10-20]% of the sales area in the zone. In these two areas, the parties remain faced with competition from at least five brands in each of these catchment areas, notably from Carrefour hypermarkets, ITM, Casino, Super U, and Auchan.</w:t>
      </w:r>
    </w:p>
    <w:p>
      <w:r>
        <w:t>55. In light of these elements, the operation is not likely to harm competition in the catchment areas defined around the target hypermarkets.</w:t>
      </w:r>
    </w:p>
    <w:p>
      <w:r>
        <w:t>DECIDES</w:t>
      </w:r>
    </w:p>
    <w:p>
      <w:r>
        <w:t>Single Article: The operation notified under number 12-184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