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https://www.autoritedelaconcurrence.fr/fr/decision-de-controle-des-concentrations/relative-la-prise-de-controle-conjoint-des-societes-10</w:t>
      </w:r>
    </w:p>
    <w:p>
      <w:r>
        <w:t>Pages translated : 2</w:t>
      </w:r>
    </w:p>
    <w:p/>
    <w:p>
      <w:r>
        <w:rPr>
          <w:b/>
        </w:rPr>
        <w:t>[Pages 1–2]</w:t>
      </w:r>
    </w:p>
    <w:p>
      <w:r>
        <w:t xml:space="preserve">FRENCH REPUBLIC  </w:t>
        <w:br/>
        <w:t xml:space="preserve">Decision No. 22-DCC-160 of August 30, 2022  </w:t>
        <w:br/>
        <w:t xml:space="preserve">regarding the joint control acquisition of the companies Cyrellis and Resud  </w:t>
        <w:br/>
        <w:t xml:space="preserve">by the companies ITM Entreprises and SLC Coiffure Esthétique  </w:t>
        <w:br/>
        <w:t xml:space="preserve">The Competition Authority,  </w:t>
        <w:br/>
        <w:t xml:space="preserve">Having regard to the complete notification file sent to the mergers department on August 12, 2022  </w:t>
        <w:br/>
        <w:t xml:space="preserve">concerning the joint control acquisition of the companies Cyrellis and Resud by the companies  </w:t>
        <w:br/>
        <w:t xml:space="preserve">ITM Entreprises and SLC Coiffure Esthétique, formalized by a letter of intent dated  </w:t>
        <w:br/>
        <w:t xml:space="preserve">July 8, 2022, and accepted on July 10,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ITM Entreprises  </w:t>
        <w:br/>
        <w:t xml:space="preserve">and SLC Coiffure Esthétique of the companies Cyrellis and Resud, each operating a retail business predominantly in food located in Commercy (33), respectively of the hypermarket type, with a surface area of 2,700 m² under the brand "Intermarché" and of the supermarket type, with a surface area of 850 m² under the brand "Netto".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22-198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