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https://www.autoritedelaconcurrence.fr/fr/decision-de-controle-des-concentrations/relative-la-prise-de-controle-conjoint-des-societes-11</w:t>
      </w:r>
    </w:p>
    <w:p>
      <w:r>
        <w:t>Pages translated : 2</w:t>
      </w:r>
    </w:p>
    <w:p/>
    <w:p>
      <w:r>
        <w:rPr>
          <w:b/>
        </w:rPr>
        <w:t>[Pages 1–2]</w:t>
      </w:r>
    </w:p>
    <w:p>
      <w:r>
        <w:t xml:space="preserve">FRENCH REPUBLIC  </w:t>
        <w:br/>
        <w:t xml:space="preserve">Decision No. 22-DCC-231 of November 29, 2022  </w:t>
        <w:br/>
        <w:t xml:space="preserve">regarding the joint control acquisition of the companies Gablin and Vlame by  </w:t>
        <w:br/>
        <w:t xml:space="preserve">the companies Uluru and ITM Entreprises  </w:t>
        <w:br/>
        <w:t xml:space="preserve">The Competition Authority,  </w:t>
        <w:br/>
        <w:t xml:space="preserve">Having regard to the complete notification file submitted to the mergers department on November 10, 2022, concerning the acquisition of control by the companies Uluru and ITM Entreprises of the companies Gablin and Vlame, formalized by a letter of intent dated September 8,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companies Uluru and ITM Entreprises of the companies Gablin and Vlame, which operate commercial funds predominantly in food under the brand "Intermarché", respectively a supermarket of 2,200 m² located in Hersin-Coupigny (62) and a hypermarket of 2,500 m² located in Verquin (62).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22-286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