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https://www.autoritedelaconcurrence.fr/fr/decision-de-controle-des-concentrations/relative-la-prise-de-controle-conjoint-des-societes-12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23-DCC-35 of February 21, 2023  </w:t>
        <w:br/>
        <w:t xml:space="preserve">regarding the joint control acquisition of the companies Dubonsort and  </w:t>
        <w:br/>
        <w:t>Podilize by the companies Héraklès and ITM Entreprises</w:t>
      </w:r>
    </w:p>
    <w:p>
      <w:r>
        <w:t xml:space="preserve">The Competition Authority,  </w:t>
        <w:br/>
        <w:t xml:space="preserve">Having regard to the complete notification file sent to the mergers department on February 2, 2023,  </w:t>
        <w:br/>
        <w:t xml:space="preserve">concerning the joint control acquisition of the companies Dubonsort and Podilize by the Héraklès group,  </w:t>
        <w:br/>
        <w:t xml:space="preserve">via the company Alcide, and ITM Entreprises, formalized by a share transfer agreement  </w:t>
        <w:br/>
        <w:t xml:space="preserve">dated December 5, 2022, and an amendment to this agreement dated February 8,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Héraklès group and the company  </w:t>
        <w:br/>
        <w:t xml:space="preserve">ITM Entreprises of the companies Dubonsort and Podilize, which each operate a food-dominant business of the supermarket type under the Intermarché brand,  </w:t>
        <w:br/>
        <w:t xml:space="preserve">respectively with a surface area of 2,490 m² located in Sept-Sorts (77) and a surface area of 2,495 m²  </w:t>
        <w:br/>
        <w:t xml:space="preserve">located in Lizy-Sur-Ourcq (77). The operation constitutes a concentration within the meaning of Article  </w:t>
        <w:br/>
        <w:t xml:space="preserve">L. 430-1 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retail control thresholds mentioned in II of Article L. 430-2 of the  </w:t>
        <w:br/>
        <w:t xml:space="preserve">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23-013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