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https://www.autoritedelaconcurrence.fr/fr/decision-de-controle-des-concentrations/relative-la-prise-de-controle-conjoint-des-societes-14</w:t>
      </w:r>
    </w:p>
    <w:p>
      <w:r>
        <w:t>Pages translated : 2</w:t>
      </w:r>
    </w:p>
    <w:p/>
    <w:p>
      <w:r>
        <w:rPr>
          <w:b/>
        </w:rPr>
        <w:t>[Pages 1–2]</w:t>
      </w:r>
    </w:p>
    <w:p>
      <w:r>
        <w:t xml:space="preserve">FRENCH REPUBLIC  </w:t>
        <w:br/>
        <w:t xml:space="preserve">Decision No. 24-DCC-214 of October 2, 2024  </w:t>
        <w:br/>
        <w:t xml:space="preserve">regarding the joint control acquisition of the companies Greece 21, Amdi, Elsam, Pomeranie, Longam by Exsamine alongside the company ITM Entreprises and the exclusive control acquisition of the companies Saint-Nicolas Gourmet and La Cave Des Saverneys by Exsamine  </w:t>
        <w:br/>
        <w:t xml:space="preserve">The Competition Authority,  </w:t>
        <w:br/>
        <w:t xml:space="preserve">Having regard to the complete notification file sent to the mergers department on September 3, 2024, concerning the joint control acquisition of the companies Greece 21, Amdi, Elsam, Pomeranie, Longam by Exsamine alongside the company ITM Entreprises and the exclusive control acquisition of the companies Saint-Nicolas Gourmet and La Cave Des Saverneys by Exsamine, formalized by several transfer agreement protocols dated July 26, 2024, and a letter of intent dated September 2, 2024;  </w:t>
        <w:br/>
        <w:t xml:space="preserve">Having regard to Book IV of the Commercial Code relating to price freedom and competition, and in particular its Articles L. 430-1 to L. 430-7;  </w:t>
        <w:br/>
        <w:t xml:space="preserve">Adopts the following decision:  </w:t>
        <w:br/>
        <w:t xml:space="preserve">1. The notified operation consists, on the one hand, of the joint control acquisition of the companies Greece 21, Amdi, Elsam, Pomeranie, Longam by Exsamine and ITM Entreprises. It consists, on the other hand, of the exclusive control acquisition of the companies Saint-Nicolas Gourmet and La Cave Des Saverneys by the company Exsamine. The companies Greece 21, Amdi, Elsam, Pomeranie, and Longam each operate a retail business predominantly in food under the Intermarché brand, respectively in Dijon (21), Fontaine-Les-Dijon (21), and Longvic (21). The companies Saint-Nicolas Gourmet and La Cave Des Saverneys operate catering workshop and wine merchant businesses in Fontaine-Les-Dijon (21).  </w:t>
        <w:br/>
        <w:t xml:space="preserve">2. All of these transactions constitute, in accordance with paragraphs 85 to 88 of the Authority's guidelines on merger control, successive operations that must therefore be analyzed as a single concentration. This operation constitutes a concentration within the meaning of Article L. 430-1 of the Commercial Code. Given the revenues generated by the companies involved,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 xml:space="preserve">3. In light of the elements of the file, the operation is not likely to harm competition in the relevant markets.  </w:t>
        <w:br/>
        <w:t xml:space="preserve">DECIDES  </w:t>
        <w:br/>
        <w:t xml:space="preserve">Sole Article: The operation notified under number 24-216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