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https://www.autoritedelaconcurrence.fr/fr/decision-de-controle-des-concentrations/relative-la-prise-de-controle-conjoint-des-societes-18</w:t>
      </w:r>
    </w:p>
    <w:p>
      <w:r>
        <w:t>Pages translated : 2</w:t>
      </w:r>
    </w:p>
    <w:p/>
    <w:p>
      <w:r>
        <w:rPr>
          <w:b/>
        </w:rPr>
        <w:t>[Pages 1–2]</w:t>
      </w:r>
    </w:p>
    <w:p>
      <w:r>
        <w:t>REPUBLIC OF FRANCE</w:t>
        <w:br/>
        <w:t>Decision No. 24-DCC-287 of December 20, 2024</w:t>
        <w:br/>
        <w:t>regarding the joint control acquisition of the companies Auxandre, Jalexane, and Batome by the company Gepad alongside the company ITM Entreprises</w:t>
        <w:br/>
        <w:t>The Competition Authority,</w:t>
        <w:br/>
        <w:t>Having regard to the complete notification file submitted to the mergers department on December 6, 2024, concerning the joint control acquisition of the companies Auxandre, Jalexane, and Batome by the company Gepad alongside the company ITM Entreprises formalized by a letter of intent dated October 22, 2024, accepted on the same day;</w:t>
        <w:br/>
        <w:t>Having regard to Book IV of the Commercial Code relating to the freedom of prices and competition, and in particular its Articles L. 430-1 to L. 430-7;</w:t>
        <w:br/>
        <w:t>Adopts the following decision:</w:t>
        <w:br/>
        <w:t>1. The notified transaction consists of the acquisition, by the company Gepad, of almost all of the capital of the companies Auxandre, Jalexane, and Batome, with ITM holding a preferred share in the capital of each of them. The target companies operate, in Cestas (33), two retail businesses primarily focused on food under the brands Intermarché (with a surface area of 4,140 m²) and Netto (with a surface area of 850 m²) and a DIY store under the brand Bricomarché (with a surface area of 2,895 m²). The transaction constitutes a concentration within the meaning of Article L. 430-1 of the Commercial Code. Given the revenues generated by the companies concerned, the transaction does not fall under the jurisdiction of the European Union. However, the control thresholds mentioned in II of Article L. 430-2 of the Commercial Code are exceeded. This transaction is therefore subject to the provisions of Articles L. 430-3 and following of the Commercial Code relating to economic concentration.</w:t>
        <w:br/>
        <w:t>2. In light of the elements of the file, the transaction is not likely to harm competition in the relevant markets.</w:t>
      </w:r>
    </w:p>
    <w:p>
      <w:r>
        <w:t>DECIDES</w:t>
        <w:br/>
        <w:t>Sole Article: The notified transaction under number 24-318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