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https://www.autoritedelaconcurrence.fr/fr/decision-de-controle-des-concentrations/relative-la-prise-de-controle-conjoint-des-societes-20</w:t>
      </w:r>
    </w:p>
    <w:p>
      <w:r>
        <w:t>Pages translated : 2</w:t>
      </w:r>
    </w:p>
    <w:p/>
    <w:p>
      <w:r>
        <w:rPr>
          <w:b/>
        </w:rPr>
        <w:t>[Pages 1–2]</w:t>
      </w:r>
    </w:p>
    <w:p>
      <w:r>
        <w:t xml:space="preserve">FRENCH REPUBLIC  </w:t>
        <w:br/>
        <w:t xml:space="preserve">Decision No. 25-DCC-50 of March 11, 2025  </w:t>
        <w:br/>
        <w:t>regarding the joint control acquisition of companies Calao 14, Calao 143, and Calao 193 by companies Fimadeu and ITM Entreprises</w:t>
      </w:r>
    </w:p>
    <w:p>
      <w:r>
        <w:t>The Competition Authority,</w:t>
      </w:r>
    </w:p>
    <w:p>
      <w:r>
        <w:t>Having regard to the complete notification file sent to the mergers department on February 10, 2025, concerning the joint control acquisition of companies Calao 14, Calao 143, and Calao 193 by companies Fimadeu and ITM Entreprises, formalized by two acquisition promises signed on July 25 and August 1,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company Fimadeu of almost all of the shares, with the company ITM Entreprises retaining one preferred share, of companies Calao 14, Calao 143, and Calao 193. The company Calao 14 has the purpose of operating a retail business predominantly in food under the Netto brand in the city of Besançon (25). The company Calao 143 has the purpose of operating a retail business predominantly in food under the Intermarché brand in the same city. The company Calao 193 has the purpose of operating a fuel distribution business, ancillary to the business of company Calao 143. These operations constitute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25-035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