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https://www.autoritedelaconcurrence.fr/fr/decision-de-controle-des-concentrations/relative-la-prise-de-controle-conjoint-des-societes-23</w:t>
      </w:r>
    </w:p>
    <w:p>
      <w:r>
        <w:t>Pages translated : 2</w:t>
      </w:r>
    </w:p>
    <w:p/>
    <w:p>
      <w:r>
        <w:rPr>
          <w:b/>
        </w:rPr>
        <w:t>[Pages 1–2]</w:t>
      </w:r>
    </w:p>
    <w:p>
      <w:r>
        <w:t>FRENCH REPUBLIC</w:t>
        <w:br/>
        <w:t>Decision No. 25-DCC-84 of April 9, 2025</w:t>
        <w:br/>
        <w:t>regarding the joint control acquisition of companies Greece 146 and Calao 212 by companies Sanarol and ITM Entreprises</w:t>
        <w:br/>
        <w:t>The Competition Authority,</w:t>
        <w:br/>
        <w:t>Having regard to the complete notification file submitted to the mergers department on March 11, 2025, concerning the joint control acquisition of companies Greece 146 and Calao 212 by companies Sanarol and ITM Entreprises, formalized by two share acquisition promises signed on January 23 and June 13, 2024;</w:t>
        <w:br/>
        <w:t>Having regard to Book IV of the Commercial Code relating to the freedom of prices and competition, and in particular its Articles L. 430-1 to L. 430-7;</w:t>
        <w:br/>
        <w:t>Adopts the following decision:</w:t>
        <w:br/>
        <w:t>1. The notified operation consists of the acquisitions by the company Sanarol, with the company ITM Entreprises retaining a preferred share within the capital of each of the target companies, (i) of almost all the shares of company Greece 146, which operates a retail business predominantly in food under the Intermarché brand, with a surface area of 880 m², in the city of Sanary-sur-Mer (83), and (ii) of almost all the shares of company Calao 212, which operates a retail business predominantly in food under the Intermarché brand, with a surface area of 1,078 m², in the city of Bandol (83). This operation constitutes a concentration within the meaning of Article L. 430-1 of the Commercial Code. Given the revenues generated by the companies concerned, the operation does not fall under the jurisdiction of the European Union. However, the control thresholds mentioned in II of Article L. 430-2 of the Commercial Code are exceeded. The present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25-070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