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https://www.autoritedelaconcurrence.fr/fr/decision-de-controle-des-concentrations/relative-la-prise-de-controle-conjoint-des-societes-25</w:t>
      </w:r>
    </w:p>
    <w:p>
      <w:r>
        <w:t>Pages translated : 2</w:t>
      </w:r>
    </w:p>
    <w:p/>
    <w:p>
      <w:r>
        <w:rPr>
          <w:b/>
        </w:rPr>
        <w:t>[Pages 1–2]</w:t>
      </w:r>
    </w:p>
    <w:p>
      <w:r>
        <w:t>FRENCH REPUBLIC</w:t>
        <w:br/>
        <w:t>Decision No. 25-DCC-126 of June 3, 2025</w:t>
        <w:br/>
        <w:t>regarding the joint control acquisition of companies Greece 150 and Greece 152 by companies Minhore and ITM Entreprises</w:t>
        <w:br/>
        <w:t>The Competition Authority,</w:t>
        <w:br/>
        <w:t>Having regard to the complete notification file submitted to the mergers department on May 5, 2025, concerning the joint control acquisition of companies Greece 150 and Greece 152 by companies Minhore and ITM Entreprises, formalized by two share acquisition promises concluded on October 25, 26, and 27, 2024;</w:t>
        <w:br/>
        <w:t>Having regard to Book IV of the Commercial Code relating to the freedom of prices and competition, and in particular its Articles L. 430-1 to L. 430-7;</w:t>
        <w:br/>
        <w:t>Adopts the following decision:</w:t>
        <w:br/>
        <w:t>1. The notified operation consists of the acquisition by the company Minhore of almost all the shares, with the company ITM Entreprises retaining one preferred share, of companies Greece 150 and Greece 152. Company Greece 150 has the purpose of operating a retail business primarily focused on food of the supermarket type under the Intermarché brand (formerly Casino), with a sales area of 1,389 m², located in the city of Toulouse (31). Company Greece 152 has the purpose of operating a retail business primarily focused on food of the supermarket type under the Intermarché brand (formerly Casino), with a sales area of 1,390 m², in the same city. This operation constitutes a concentration within the meaning of Article L. 430-1 of the Commercial Code. Given the revenues generated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25-120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